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0FFA" w14:textId="0D9811A0" w:rsidR="00110D72" w:rsidRPr="00110D72" w:rsidRDefault="00110D72" w:rsidP="00110D72">
      <w:pPr>
        <w:jc w:val="center"/>
        <w:rPr>
          <w:rFonts w:ascii="Calibri" w:eastAsia="Calibri" w:hAnsi="Calibri"/>
          <w:b/>
          <w:sz w:val="22"/>
          <w:szCs w:val="22"/>
        </w:rPr>
      </w:pPr>
      <w:r w:rsidRPr="00110D72">
        <w:rPr>
          <w:rFonts w:ascii="Calibri" w:eastAsia="Calibri" w:hAnsi="Calibri"/>
          <w:b/>
          <w:sz w:val="22"/>
          <w:szCs w:val="22"/>
        </w:rPr>
        <w:t xml:space="preserve">Non-disclosure Agreement for Nominated Experts </w:t>
      </w:r>
    </w:p>
    <w:p w14:paraId="43A6CB01" w14:textId="77777777" w:rsidR="00110D72" w:rsidRPr="00110D72" w:rsidRDefault="00110D72" w:rsidP="00110D72">
      <w:pPr>
        <w:spacing w:after="200"/>
        <w:jc w:val="center"/>
        <w:rPr>
          <w:rFonts w:ascii="Calibri" w:eastAsia="Calibri" w:hAnsi="Calibri"/>
          <w:b/>
          <w:sz w:val="22"/>
          <w:szCs w:val="22"/>
        </w:rPr>
      </w:pPr>
      <w:r w:rsidRPr="00110D72">
        <w:rPr>
          <w:rFonts w:ascii="Calibri" w:eastAsia="Calibri" w:hAnsi="Calibri"/>
          <w:b/>
          <w:sz w:val="22"/>
          <w:szCs w:val="22"/>
        </w:rPr>
        <w:t>For the A.I.S.E. Detergent Industry Network for CLP Classification</w:t>
      </w:r>
    </w:p>
    <w:p w14:paraId="11437ADA" w14:textId="77777777" w:rsidR="00110D72" w:rsidRPr="00110D72" w:rsidRDefault="00110D72" w:rsidP="00110D72">
      <w:pPr>
        <w:spacing w:after="200"/>
        <w:rPr>
          <w:rFonts w:ascii="Calibri" w:eastAsia="Calibri" w:hAnsi="Calibri"/>
          <w:sz w:val="22"/>
          <w:szCs w:val="22"/>
        </w:rPr>
      </w:pPr>
    </w:p>
    <w:p w14:paraId="64CCC9D8"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This Agreement is made between:</w:t>
      </w:r>
    </w:p>
    <w:p w14:paraId="1F685CB4" w14:textId="4975DAC3" w:rsidR="00110D72" w:rsidRPr="00110D72" w:rsidRDefault="00110D72" w:rsidP="00110D72">
      <w:pPr>
        <w:spacing w:after="200"/>
        <w:jc w:val="both"/>
        <w:rPr>
          <w:rFonts w:ascii="Calibri" w:eastAsia="Calibri" w:hAnsi="Calibri"/>
          <w:sz w:val="22"/>
          <w:szCs w:val="22"/>
        </w:rPr>
      </w:pPr>
      <w:r w:rsidRPr="00110D72">
        <w:rPr>
          <w:rFonts w:ascii="Calibri" w:eastAsia="Calibri" w:hAnsi="Calibri"/>
          <w:b/>
          <w:sz w:val="22"/>
          <w:szCs w:val="22"/>
        </w:rPr>
        <w:t>A.I.S.E. A.I.S.B.L.</w:t>
      </w:r>
      <w:r w:rsidRPr="00110D72">
        <w:rPr>
          <w:rFonts w:ascii="Calibri" w:eastAsia="Calibri" w:hAnsi="Calibri"/>
          <w:sz w:val="22"/>
          <w:szCs w:val="22"/>
        </w:rPr>
        <w:t xml:space="preserve">  (also known as the International Association for Soaps, Detergents and Maintenance Products) with registered office located at Boulevard du Souverain 165, 4</w:t>
      </w:r>
      <w:r w:rsidRPr="00110D72">
        <w:rPr>
          <w:rFonts w:ascii="Calibri" w:eastAsia="Calibri" w:hAnsi="Calibri"/>
          <w:sz w:val="22"/>
          <w:szCs w:val="22"/>
          <w:vertAlign w:val="superscript"/>
        </w:rPr>
        <w:t>th</w:t>
      </w:r>
      <w:r w:rsidRPr="00110D72">
        <w:rPr>
          <w:rFonts w:ascii="Calibri" w:eastAsia="Calibri" w:hAnsi="Calibri"/>
          <w:sz w:val="22"/>
          <w:szCs w:val="22"/>
        </w:rPr>
        <w:t xml:space="preserve"> floor, 1160 Brussels, Belgium, registered in the register of legal entities (district of Brussels) under number 0538.183.615, duly represented by Mr</w:t>
      </w:r>
      <w:r w:rsidR="00261A64">
        <w:rPr>
          <w:rFonts w:ascii="Calibri" w:eastAsia="Calibri" w:hAnsi="Calibri"/>
          <w:sz w:val="22"/>
          <w:szCs w:val="22"/>
        </w:rPr>
        <w:t>.</w:t>
      </w:r>
      <w:r w:rsidRPr="00110D72">
        <w:rPr>
          <w:rFonts w:ascii="Calibri" w:eastAsia="Calibri" w:hAnsi="Calibri"/>
          <w:sz w:val="22"/>
          <w:szCs w:val="22"/>
        </w:rPr>
        <w:t xml:space="preserve"> </w:t>
      </w:r>
      <w:r w:rsidR="00261A64">
        <w:rPr>
          <w:rFonts w:ascii="Calibri" w:eastAsia="Calibri" w:hAnsi="Calibri"/>
          <w:sz w:val="22"/>
          <w:szCs w:val="22"/>
        </w:rPr>
        <w:t>Alexis Van Maercke</w:t>
      </w:r>
      <w:r w:rsidRPr="00110D72">
        <w:rPr>
          <w:rFonts w:ascii="Calibri" w:eastAsia="Calibri" w:hAnsi="Calibri"/>
          <w:sz w:val="22"/>
          <w:szCs w:val="22"/>
        </w:rPr>
        <w:t>, Director General (hereinafter referred to as “</w:t>
      </w:r>
      <w:r w:rsidRPr="00110D72">
        <w:rPr>
          <w:rFonts w:ascii="Calibri" w:eastAsia="Calibri" w:hAnsi="Calibri"/>
          <w:b/>
          <w:sz w:val="22"/>
          <w:szCs w:val="22"/>
        </w:rPr>
        <w:t>A.I.S.E.</w:t>
      </w:r>
      <w:r w:rsidRPr="00110D72">
        <w:rPr>
          <w:rFonts w:ascii="Calibri" w:eastAsia="Calibri" w:hAnsi="Calibri"/>
          <w:sz w:val="22"/>
          <w:szCs w:val="22"/>
        </w:rPr>
        <w:t>”),</w:t>
      </w:r>
    </w:p>
    <w:p w14:paraId="01B93B30"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And</w:t>
      </w:r>
    </w:p>
    <w:p w14:paraId="3A205317"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highlight w:val="yellow"/>
        </w:rPr>
        <w:t xml:space="preserve">«EXPERT» </w:t>
      </w:r>
      <w:proofErr w:type="gramStart"/>
      <w:r w:rsidRPr="00110D72">
        <w:rPr>
          <w:rFonts w:ascii="Calibri" w:eastAsia="Calibri" w:hAnsi="Calibri"/>
          <w:sz w:val="22"/>
          <w:szCs w:val="22"/>
          <w:highlight w:val="yellow"/>
        </w:rPr>
        <w:t>NAME</w:t>
      </w:r>
      <w:r w:rsidRPr="00110D72">
        <w:rPr>
          <w:rFonts w:ascii="Calibri" w:eastAsia="Calibri" w:hAnsi="Calibri"/>
          <w:sz w:val="22"/>
          <w:szCs w:val="22"/>
        </w:rPr>
        <w:t xml:space="preserve">  ,</w:t>
      </w:r>
      <w:proofErr w:type="gramEnd"/>
      <w:r w:rsidRPr="00110D72">
        <w:rPr>
          <w:rFonts w:ascii="Calibri" w:eastAsia="Calibri" w:hAnsi="Calibri"/>
          <w:sz w:val="22"/>
          <w:szCs w:val="22"/>
        </w:rPr>
        <w:t xml:space="preserve"> with domicile located at (</w:t>
      </w:r>
      <w:r w:rsidRPr="00110D72">
        <w:rPr>
          <w:rFonts w:ascii="Calibri" w:eastAsia="Calibri" w:hAnsi="Calibri"/>
          <w:sz w:val="22"/>
          <w:szCs w:val="22"/>
          <w:highlight w:val="yellow"/>
        </w:rPr>
        <w:t>ADDRESS)</w:t>
      </w:r>
      <w:r w:rsidRPr="00110D72">
        <w:rPr>
          <w:rFonts w:ascii="Calibri" w:eastAsia="Calibri" w:hAnsi="Calibri"/>
          <w:sz w:val="22"/>
          <w:szCs w:val="22"/>
        </w:rPr>
        <w:t xml:space="preserve"> ,( hereinafter referred to as the “</w:t>
      </w:r>
      <w:r w:rsidRPr="00110D72">
        <w:rPr>
          <w:rFonts w:ascii="Calibri" w:eastAsia="Calibri" w:hAnsi="Calibri"/>
          <w:b/>
          <w:sz w:val="22"/>
          <w:szCs w:val="22"/>
        </w:rPr>
        <w:t>Expert</w:t>
      </w:r>
      <w:r w:rsidRPr="00110D72">
        <w:rPr>
          <w:rFonts w:ascii="Calibri" w:eastAsia="Calibri" w:hAnsi="Calibri"/>
          <w:sz w:val="22"/>
          <w:szCs w:val="22"/>
        </w:rPr>
        <w:t>”),</w:t>
      </w:r>
    </w:p>
    <w:p w14:paraId="05206B1C"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And</w:t>
      </w:r>
    </w:p>
    <w:p w14:paraId="47B9BBCE"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highlight w:val="yellow"/>
        </w:rPr>
        <w:t>COMPANY NAME</w:t>
      </w:r>
      <w:r w:rsidRPr="00110D72">
        <w:rPr>
          <w:rFonts w:ascii="Calibri" w:eastAsia="Calibri" w:hAnsi="Calibri"/>
          <w:sz w:val="22"/>
          <w:szCs w:val="22"/>
        </w:rPr>
        <w:t>, with registered office located at (</w:t>
      </w:r>
      <w:r w:rsidRPr="00110D72">
        <w:rPr>
          <w:rFonts w:ascii="Calibri" w:eastAsia="Calibri" w:hAnsi="Calibri"/>
          <w:sz w:val="22"/>
          <w:szCs w:val="22"/>
          <w:highlight w:val="yellow"/>
        </w:rPr>
        <w:t>ADDRESS</w:t>
      </w:r>
      <w:r w:rsidRPr="00110D72">
        <w:rPr>
          <w:rFonts w:ascii="Calibri" w:eastAsia="Calibri" w:hAnsi="Calibri"/>
          <w:sz w:val="22"/>
          <w:szCs w:val="22"/>
        </w:rPr>
        <w:t xml:space="preserve">), duly represented by </w:t>
      </w:r>
      <w:r w:rsidRPr="00110D72">
        <w:rPr>
          <w:rFonts w:ascii="Calibri" w:eastAsia="Calibri" w:hAnsi="Calibri"/>
          <w:sz w:val="22"/>
          <w:szCs w:val="22"/>
          <w:highlight w:val="yellow"/>
        </w:rPr>
        <w:t>NAME + TITLE</w:t>
      </w:r>
      <w:r w:rsidRPr="00110D72">
        <w:rPr>
          <w:rFonts w:ascii="Calibri" w:eastAsia="Calibri" w:hAnsi="Calibri"/>
          <w:sz w:val="22"/>
          <w:szCs w:val="22"/>
        </w:rPr>
        <w:t xml:space="preserve"> (hereinafter referred to as “</w:t>
      </w:r>
      <w:r w:rsidRPr="00110D72">
        <w:rPr>
          <w:rFonts w:ascii="Calibri" w:eastAsia="Calibri" w:hAnsi="Calibri"/>
          <w:b/>
          <w:sz w:val="22"/>
          <w:szCs w:val="22"/>
        </w:rPr>
        <w:t>Company</w:t>
      </w:r>
      <w:r w:rsidRPr="00110D72">
        <w:rPr>
          <w:rFonts w:ascii="Calibri" w:eastAsia="Calibri" w:hAnsi="Calibri"/>
          <w:sz w:val="22"/>
          <w:szCs w:val="22"/>
        </w:rPr>
        <w:t xml:space="preserve">”. </w:t>
      </w:r>
    </w:p>
    <w:p w14:paraId="3B66B53D"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Hereinafter collectively or separately referred to as the “</w:t>
      </w:r>
      <w:r w:rsidRPr="00110D72">
        <w:rPr>
          <w:rFonts w:ascii="Calibri" w:eastAsia="Calibri" w:hAnsi="Calibri"/>
          <w:b/>
          <w:sz w:val="22"/>
          <w:szCs w:val="22"/>
        </w:rPr>
        <w:t>Parties</w:t>
      </w:r>
      <w:r w:rsidRPr="00110D72">
        <w:rPr>
          <w:rFonts w:ascii="Calibri" w:eastAsia="Calibri" w:hAnsi="Calibri"/>
          <w:sz w:val="22"/>
          <w:szCs w:val="22"/>
        </w:rPr>
        <w:t>” or a “</w:t>
      </w:r>
      <w:r w:rsidRPr="00110D72">
        <w:rPr>
          <w:rFonts w:ascii="Calibri" w:eastAsia="Calibri" w:hAnsi="Calibri"/>
          <w:b/>
          <w:sz w:val="22"/>
          <w:szCs w:val="22"/>
        </w:rPr>
        <w:t>Party</w:t>
      </w:r>
      <w:r w:rsidRPr="00110D72">
        <w:rPr>
          <w:rFonts w:ascii="Calibri" w:eastAsia="Calibri" w:hAnsi="Calibri"/>
          <w:sz w:val="22"/>
          <w:szCs w:val="22"/>
        </w:rPr>
        <w:t xml:space="preserve">”. </w:t>
      </w:r>
    </w:p>
    <w:p w14:paraId="6E43B21C" w14:textId="77777777" w:rsidR="00110D72" w:rsidRPr="00110D72" w:rsidRDefault="00110D72" w:rsidP="00110D72">
      <w:pPr>
        <w:spacing w:after="200"/>
        <w:jc w:val="both"/>
        <w:rPr>
          <w:rFonts w:ascii="Calibri" w:eastAsia="Calibri" w:hAnsi="Calibri"/>
          <w:sz w:val="22"/>
          <w:szCs w:val="22"/>
        </w:rPr>
      </w:pPr>
    </w:p>
    <w:p w14:paraId="3614CAEB" w14:textId="77777777"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PREAMBLE</w:t>
      </w:r>
    </w:p>
    <w:p w14:paraId="56B95ED4"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 xml:space="preserve">A.I.S.E. is involved in the implementation of Regulation </w:t>
      </w:r>
      <w:r w:rsidRPr="00110D72">
        <w:rPr>
          <w:rFonts w:ascii="Calibri" w:eastAsia="Calibri" w:hAnsi="Calibri"/>
          <w:bCs/>
          <w:sz w:val="22"/>
          <w:szCs w:val="22"/>
        </w:rPr>
        <w:t>(EC) No 1272/2008 of 16 December 2008 on classification, labelling and packaging of substances and mixtures (“</w:t>
      </w:r>
      <w:r w:rsidRPr="00110D72">
        <w:rPr>
          <w:rFonts w:ascii="Calibri" w:eastAsia="Calibri" w:hAnsi="Calibri"/>
          <w:b/>
          <w:bCs/>
          <w:sz w:val="22"/>
          <w:szCs w:val="22"/>
        </w:rPr>
        <w:t>CLP Regulation</w:t>
      </w:r>
      <w:r w:rsidRPr="00110D72">
        <w:rPr>
          <w:rFonts w:ascii="Calibri" w:eastAsia="Calibri" w:hAnsi="Calibri"/>
          <w:bCs/>
          <w:sz w:val="22"/>
          <w:szCs w:val="22"/>
        </w:rPr>
        <w:t>”)</w:t>
      </w:r>
      <w:r w:rsidRPr="00110D72">
        <w:rPr>
          <w:rFonts w:ascii="Calibri" w:eastAsia="Calibri" w:hAnsi="Calibri"/>
          <w:sz w:val="22"/>
          <w:szCs w:val="22"/>
        </w:rPr>
        <w:t xml:space="preserve"> and provides support to the detergent industry with the classification &amp; labelling requirements for detergents and maintenance products derived from the CLP Regulation.</w:t>
      </w:r>
    </w:p>
    <w:p w14:paraId="2077D378" w14:textId="77777777" w:rsidR="00110D72" w:rsidRPr="00110D72" w:rsidRDefault="00110D72" w:rsidP="00110D72">
      <w:pPr>
        <w:tabs>
          <w:tab w:val="left" w:pos="0"/>
          <w:tab w:val="left" w:pos="1134"/>
        </w:tabs>
        <w:jc w:val="both"/>
        <w:rPr>
          <w:rFonts w:ascii="Calibri" w:eastAsia="Calibri" w:hAnsi="Calibri"/>
          <w:spacing w:val="-3"/>
          <w:sz w:val="22"/>
          <w:szCs w:val="22"/>
        </w:rPr>
      </w:pPr>
      <w:r w:rsidRPr="00110D72">
        <w:rPr>
          <w:rFonts w:ascii="Calibri" w:eastAsia="Calibri" w:hAnsi="Calibri"/>
          <w:sz w:val="22"/>
          <w:szCs w:val="22"/>
        </w:rPr>
        <w:t>A.I.S.E. has established and operates the "Detergent Industry Network for CLP Classification"</w:t>
      </w:r>
      <w:r w:rsidRPr="00110D72">
        <w:rPr>
          <w:rFonts w:ascii="Calibri" w:eastAsia="Calibri" w:hAnsi="Calibri"/>
          <w:spacing w:val="-3"/>
          <w:sz w:val="22"/>
          <w:szCs w:val="22"/>
        </w:rPr>
        <w:t xml:space="preserve"> </w:t>
      </w:r>
      <w:r w:rsidRPr="00110D72">
        <w:rPr>
          <w:rFonts w:ascii="Calibri" w:eastAsia="Calibri" w:hAnsi="Calibri"/>
          <w:sz w:val="22"/>
          <w:szCs w:val="22"/>
        </w:rPr>
        <w:t>("</w:t>
      </w:r>
      <w:proofErr w:type="spellStart"/>
      <w:r w:rsidRPr="00110D72">
        <w:rPr>
          <w:rFonts w:ascii="Calibri" w:eastAsia="Calibri" w:hAnsi="Calibri"/>
          <w:b/>
          <w:sz w:val="22"/>
          <w:szCs w:val="22"/>
        </w:rPr>
        <w:t>DetNet</w:t>
      </w:r>
      <w:proofErr w:type="spellEnd"/>
      <w:r w:rsidRPr="00110D72">
        <w:rPr>
          <w:rFonts w:ascii="Calibri" w:eastAsia="Calibri" w:hAnsi="Calibri"/>
          <w:sz w:val="22"/>
          <w:szCs w:val="22"/>
        </w:rPr>
        <w:t>", as further defined in article 1.5 below). “</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 was created in accordance with Annex I, section 1.1.0 of the CLP Regulation as a means for suppliers of products to cooperate through the formation of a network to share data and expertise when classifying substances and mixtures. “</w:t>
      </w:r>
      <w:proofErr w:type="spellStart"/>
      <w:proofErr w:type="gram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  is</w:t>
      </w:r>
      <w:proofErr w:type="gramEnd"/>
      <w:r w:rsidRPr="00110D72">
        <w:rPr>
          <w:rFonts w:ascii="Calibri" w:eastAsia="Calibri" w:hAnsi="Calibri"/>
          <w:spacing w:val="-3"/>
          <w:sz w:val="22"/>
          <w:szCs w:val="22"/>
        </w:rPr>
        <w:t xml:space="preserve"> based on the former A.I.S.E. pool of reference formulation data in the A.I.S.E. irritancy and extreme pH database developed for the former A.I.S.E. approach on irritancy classification. It also incorporates additional formulations provided by companies participating in “</w:t>
      </w:r>
      <w:proofErr w:type="spellStart"/>
      <w:r w:rsidRPr="00110D72">
        <w:rPr>
          <w:rFonts w:ascii="Calibri" w:eastAsia="Calibri" w:hAnsi="Calibri"/>
          <w:spacing w:val="-3"/>
          <w:sz w:val="22"/>
          <w:szCs w:val="22"/>
        </w:rPr>
        <w:t>DetNet</w:t>
      </w:r>
      <w:proofErr w:type="spellEnd"/>
      <w:proofErr w:type="gramStart"/>
      <w:r w:rsidRPr="00110D72">
        <w:rPr>
          <w:rFonts w:ascii="Calibri" w:eastAsia="Calibri" w:hAnsi="Calibri"/>
          <w:spacing w:val="-3"/>
          <w:sz w:val="22"/>
          <w:szCs w:val="22"/>
        </w:rPr>
        <w:t>”, and</w:t>
      </w:r>
      <w:proofErr w:type="gramEnd"/>
      <w:r w:rsidRPr="00110D72">
        <w:rPr>
          <w:rFonts w:ascii="Calibri" w:eastAsia="Calibri" w:hAnsi="Calibri"/>
          <w:spacing w:val="-3"/>
          <w:sz w:val="22"/>
          <w:szCs w:val="22"/>
        </w:rPr>
        <w:t xml:space="preserve"> includes reference formulations tested in the framework of the A.I.S.E. in-vitro testing project. </w:t>
      </w:r>
    </w:p>
    <w:p w14:paraId="2FF85E03" w14:textId="77777777" w:rsidR="00110D72" w:rsidRPr="00110D72" w:rsidRDefault="00110D72" w:rsidP="00110D72">
      <w:pPr>
        <w:tabs>
          <w:tab w:val="left" w:pos="0"/>
          <w:tab w:val="left" w:pos="1134"/>
        </w:tabs>
        <w:jc w:val="both"/>
        <w:rPr>
          <w:rFonts w:ascii="Calibri" w:eastAsia="Calibri" w:hAnsi="Calibri"/>
          <w:sz w:val="22"/>
          <w:szCs w:val="22"/>
        </w:rPr>
      </w:pPr>
    </w:p>
    <w:p w14:paraId="663B7480" w14:textId="77777777" w:rsidR="00110D72" w:rsidRPr="00110D72" w:rsidRDefault="00110D72" w:rsidP="00110D72">
      <w:pPr>
        <w:tabs>
          <w:tab w:val="left" w:pos="0"/>
          <w:tab w:val="left" w:pos="1134"/>
        </w:tabs>
        <w:jc w:val="both"/>
        <w:rPr>
          <w:rFonts w:ascii="Calibri" w:eastAsia="Calibri" w:hAnsi="Calibri"/>
          <w:spacing w:val="-3"/>
          <w:sz w:val="22"/>
          <w:szCs w:val="22"/>
        </w:rPr>
      </w:pPr>
      <w:r w:rsidRPr="00110D72">
        <w:rPr>
          <w:rFonts w:ascii="Calibri" w:eastAsia="Calibri" w:hAnsi="Calibri"/>
          <w:spacing w:val="-3"/>
          <w:sz w:val="22"/>
          <w:szCs w:val="22"/>
        </w:rPr>
        <w:t>“</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 xml:space="preserve">” </w:t>
      </w:r>
      <w:r w:rsidRPr="00110D72">
        <w:rPr>
          <w:rFonts w:ascii="Calibri" w:eastAsia="Calibri" w:hAnsi="Calibri"/>
          <w:sz w:val="22"/>
          <w:szCs w:val="22"/>
        </w:rPr>
        <w:t>is open to all companies that are "suppliers" in the meaning of article 2.26 of the CLP Regulation and that are required to comply with certain classification obligations under the CLP Regulation;</w:t>
      </w:r>
      <w:r w:rsidRPr="00110D72">
        <w:rPr>
          <w:rFonts w:ascii="Calibri" w:eastAsia="Calibri" w:hAnsi="Calibri"/>
          <w:spacing w:val="-3"/>
          <w:sz w:val="22"/>
          <w:szCs w:val="22"/>
        </w:rPr>
        <w:t xml:space="preserve"> It aims </w:t>
      </w:r>
      <w:r w:rsidRPr="00110D72">
        <w:rPr>
          <w:rFonts w:ascii="Calibri" w:eastAsia="Calibri" w:hAnsi="Calibri"/>
          <w:sz w:val="22"/>
          <w:szCs w:val="22"/>
        </w:rPr>
        <w:t>to provide “suppliers” with access to shared test data and expert judgment and allow for a science-based process for classification of detergent and cleaning products in compliance with the CLP Regulation</w:t>
      </w:r>
      <w:r w:rsidRPr="00110D72">
        <w:rPr>
          <w:rFonts w:ascii="Calibri" w:eastAsia="Calibri" w:hAnsi="Calibri"/>
          <w:spacing w:val="-3"/>
          <w:sz w:val="22"/>
          <w:szCs w:val="22"/>
        </w:rPr>
        <w:t>.</w:t>
      </w:r>
    </w:p>
    <w:p w14:paraId="11F1436C" w14:textId="77777777" w:rsidR="00110D72" w:rsidRPr="00110D72" w:rsidRDefault="00110D72" w:rsidP="00110D72">
      <w:pPr>
        <w:tabs>
          <w:tab w:val="left" w:pos="0"/>
          <w:tab w:val="left" w:pos="1134"/>
        </w:tabs>
        <w:jc w:val="both"/>
        <w:rPr>
          <w:rFonts w:ascii="Calibri" w:eastAsia="Calibri" w:hAnsi="Calibri"/>
          <w:sz w:val="22"/>
          <w:szCs w:val="22"/>
        </w:rPr>
      </w:pPr>
    </w:p>
    <w:p w14:paraId="6FB42F71" w14:textId="77777777" w:rsidR="00110D72" w:rsidRPr="00110D72" w:rsidRDefault="00110D72" w:rsidP="00110D72">
      <w:pPr>
        <w:spacing w:after="200"/>
        <w:jc w:val="both"/>
        <w:rPr>
          <w:rFonts w:ascii="Calibri" w:eastAsia="Calibri" w:hAnsi="Calibri"/>
          <w:spacing w:val="-3"/>
          <w:sz w:val="22"/>
          <w:szCs w:val="22"/>
        </w:rPr>
      </w:pPr>
      <w:r w:rsidRPr="00110D72" w:rsidDel="005B1F95">
        <w:rPr>
          <w:rFonts w:ascii="Calibri" w:eastAsia="Calibri" w:hAnsi="Calibri"/>
          <w:sz w:val="22"/>
          <w:szCs w:val="22"/>
        </w:rPr>
        <w:t xml:space="preserve"> </w:t>
      </w:r>
      <w:r w:rsidRPr="00110D72">
        <w:rPr>
          <w:rFonts w:ascii="Calibri" w:eastAsia="Calibri" w:hAnsi="Calibri"/>
          <w:spacing w:val="-3"/>
          <w:sz w:val="22"/>
          <w:szCs w:val="22"/>
        </w:rPr>
        <w:t>“</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w:t>
      </w:r>
      <w:r w:rsidRPr="00110D72">
        <w:rPr>
          <w:rFonts w:ascii="Calibri" w:eastAsia="Calibri" w:hAnsi="Calibri"/>
          <w:sz w:val="22"/>
          <w:szCs w:val="22"/>
        </w:rPr>
        <w:t xml:space="preserve"> will incorporate a “Database” of tested reference formulations with associated study summaries</w:t>
      </w:r>
      <w:r w:rsidRPr="00110D72">
        <w:rPr>
          <w:rFonts w:ascii="Calibri" w:eastAsia="Calibri" w:hAnsi="Calibri"/>
          <w:spacing w:val="-3"/>
          <w:sz w:val="22"/>
          <w:szCs w:val="22"/>
        </w:rPr>
        <w:t xml:space="preserve">.  </w:t>
      </w:r>
    </w:p>
    <w:p w14:paraId="6E8CFE81" w14:textId="77777777" w:rsidR="00110D72" w:rsidRPr="00110D72" w:rsidRDefault="00110D72" w:rsidP="00110D72">
      <w:pPr>
        <w:spacing w:after="200"/>
        <w:jc w:val="both"/>
        <w:rPr>
          <w:rFonts w:ascii="Calibri" w:eastAsia="Calibri" w:hAnsi="Calibri"/>
          <w:spacing w:val="-3"/>
          <w:sz w:val="22"/>
          <w:szCs w:val="22"/>
        </w:rPr>
      </w:pPr>
      <w:proofErr w:type="gramStart"/>
      <w:r w:rsidRPr="00110D72">
        <w:rPr>
          <w:rFonts w:ascii="Calibri" w:eastAsia="Calibri" w:hAnsi="Calibri"/>
          <w:spacing w:val="-3"/>
          <w:sz w:val="22"/>
          <w:szCs w:val="22"/>
        </w:rPr>
        <w:t>Companies  subscribing</w:t>
      </w:r>
      <w:proofErr w:type="gramEnd"/>
      <w:r w:rsidRPr="00110D72">
        <w:rPr>
          <w:rFonts w:ascii="Calibri" w:eastAsia="Calibri" w:hAnsi="Calibri"/>
          <w:spacing w:val="-3"/>
          <w:sz w:val="22"/>
          <w:szCs w:val="22"/>
        </w:rPr>
        <w:t xml:space="preserve"> to “</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 xml:space="preserve">” will nominate experts for the purpose of identifying the relevant information on certain reference formulations which may be used to classify the subscribers’ own untested mixtures.  </w:t>
      </w:r>
    </w:p>
    <w:p w14:paraId="320C8FD4"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lastRenderedPageBreak/>
        <w:t xml:space="preserve">The security of the </w:t>
      </w:r>
      <w:r w:rsidRPr="00110D72">
        <w:rPr>
          <w:rFonts w:ascii="Calibri" w:eastAsia="Calibri" w:hAnsi="Calibri"/>
          <w:spacing w:val="-3"/>
          <w:sz w:val="22"/>
          <w:szCs w:val="22"/>
        </w:rPr>
        <w:t>“</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w:t>
      </w:r>
      <w:r w:rsidRPr="00110D72">
        <w:rPr>
          <w:rFonts w:ascii="Calibri" w:eastAsia="Calibri" w:hAnsi="Calibri"/>
          <w:sz w:val="22"/>
          <w:szCs w:val="22"/>
        </w:rPr>
        <w:t xml:space="preserve"> and the “Database” is a primary concern of “A.I.S.E.” and given the sensitive and confidential nature of the data that will form the basis of the “Database”, companies owning the data have accepted inclusion of such data on the condition that the nominated “Experts” accessing the “</w:t>
      </w:r>
      <w:proofErr w:type="spellStart"/>
      <w:r w:rsidRPr="00110D72">
        <w:rPr>
          <w:rFonts w:ascii="Calibri" w:eastAsia="Calibri" w:hAnsi="Calibri"/>
          <w:sz w:val="22"/>
          <w:szCs w:val="22"/>
        </w:rPr>
        <w:t>DetNet</w:t>
      </w:r>
      <w:proofErr w:type="spellEnd"/>
      <w:proofErr w:type="gramStart"/>
      <w:r w:rsidRPr="00110D72">
        <w:rPr>
          <w:rFonts w:ascii="Calibri" w:eastAsia="Calibri" w:hAnsi="Calibri"/>
          <w:sz w:val="22"/>
          <w:szCs w:val="22"/>
        </w:rPr>
        <w:t>”</w:t>
      </w:r>
      <w:proofErr w:type="gramEnd"/>
      <w:r w:rsidRPr="00110D72">
        <w:rPr>
          <w:rFonts w:ascii="Calibri" w:eastAsia="Calibri" w:hAnsi="Calibri"/>
          <w:sz w:val="22"/>
          <w:szCs w:val="22"/>
        </w:rPr>
        <w:t xml:space="preserve"> and the “Database” commit to confidentiality obligations;</w:t>
      </w:r>
    </w:p>
    <w:p w14:paraId="26F68053"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 xml:space="preserve">The “Expert” is employed by or has entered into a service agreement with the Company, under which he/she performs certain services regarding the classification under the “CLP Regulation” of the Company’s products, including the establishment of a “Classification </w:t>
      </w:r>
      <w:proofErr w:type="gramStart"/>
      <w:r w:rsidRPr="00110D72">
        <w:rPr>
          <w:rFonts w:ascii="Calibri" w:eastAsia="Calibri" w:hAnsi="Calibri"/>
          <w:sz w:val="22"/>
          <w:szCs w:val="22"/>
        </w:rPr>
        <w:t>Record”  (</w:t>
      </w:r>
      <w:proofErr w:type="gramEnd"/>
      <w:r w:rsidRPr="00110D72">
        <w:rPr>
          <w:rFonts w:ascii="Calibri" w:eastAsia="Calibri" w:hAnsi="Calibri"/>
          <w:sz w:val="22"/>
          <w:szCs w:val="22"/>
        </w:rPr>
        <w:t xml:space="preserve">the “Mission”) and has been nominated as “Nominated Expert” in the meaning of 1.10;  </w:t>
      </w:r>
    </w:p>
    <w:p w14:paraId="59A5AE7E"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 xml:space="preserve">The Company has </w:t>
      </w:r>
      <w:proofErr w:type="gramStart"/>
      <w:r w:rsidRPr="00110D72">
        <w:rPr>
          <w:rFonts w:ascii="Calibri" w:eastAsia="Calibri" w:hAnsi="Calibri"/>
          <w:sz w:val="22"/>
          <w:szCs w:val="22"/>
        </w:rPr>
        <w:t>entered into</w:t>
      </w:r>
      <w:proofErr w:type="gramEnd"/>
      <w:r w:rsidRPr="00110D72">
        <w:rPr>
          <w:rFonts w:ascii="Calibri" w:eastAsia="Calibri" w:hAnsi="Calibri"/>
          <w:sz w:val="22"/>
          <w:szCs w:val="22"/>
        </w:rPr>
        <w:t xml:space="preserve"> a separate “A.I.S.E. Detergent Industry Network for CLP Classification Subscriber Agreement” under which it has become a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Subscriber”.</w:t>
      </w:r>
    </w:p>
    <w:p w14:paraId="4423F668"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This Agreement defines under which terms and conditions the “Expert” may access the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and the “Database” </w:t>
      </w:r>
      <w:proofErr w:type="gramStart"/>
      <w:r w:rsidRPr="00110D72">
        <w:rPr>
          <w:rFonts w:ascii="Calibri" w:eastAsia="Calibri" w:hAnsi="Calibri"/>
          <w:sz w:val="22"/>
          <w:szCs w:val="22"/>
        </w:rPr>
        <w:t>so as to</w:t>
      </w:r>
      <w:proofErr w:type="gramEnd"/>
      <w:r w:rsidRPr="00110D72">
        <w:rPr>
          <w:rFonts w:ascii="Calibri" w:eastAsia="Calibri" w:hAnsi="Calibri"/>
          <w:sz w:val="22"/>
          <w:szCs w:val="22"/>
        </w:rPr>
        <w:t xml:space="preserve"> complete its “Mission”. </w:t>
      </w:r>
    </w:p>
    <w:p w14:paraId="32B0DD6E" w14:textId="77777777" w:rsidR="00110D72" w:rsidRPr="00110D72" w:rsidRDefault="00110D72" w:rsidP="00110D72">
      <w:pPr>
        <w:spacing w:after="200"/>
        <w:jc w:val="both"/>
        <w:rPr>
          <w:rFonts w:ascii="Calibri" w:eastAsia="Calibri" w:hAnsi="Calibri"/>
          <w:sz w:val="22"/>
          <w:szCs w:val="22"/>
        </w:rPr>
      </w:pPr>
    </w:p>
    <w:p w14:paraId="462BA325" w14:textId="77777777"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HENCE IT IS HEREBY AGREED AS FOLLOWS:</w:t>
      </w:r>
    </w:p>
    <w:p w14:paraId="131EA8A6" w14:textId="77777777" w:rsidR="00110D72" w:rsidRPr="00110D72" w:rsidRDefault="00110D72" w:rsidP="00110D72">
      <w:pPr>
        <w:spacing w:after="200"/>
        <w:jc w:val="both"/>
        <w:rPr>
          <w:rFonts w:ascii="Calibri" w:eastAsia="Calibri" w:hAnsi="Calibri"/>
          <w:b/>
          <w:sz w:val="22"/>
          <w:szCs w:val="22"/>
        </w:rPr>
      </w:pPr>
    </w:p>
    <w:p w14:paraId="1A38927E" w14:textId="77777777"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ARTICLE 1 – Definitions</w:t>
      </w:r>
    </w:p>
    <w:p w14:paraId="0758A95E" w14:textId="77777777" w:rsidR="00110D72" w:rsidRPr="00110D72" w:rsidRDefault="00110D72" w:rsidP="00110D72">
      <w:pPr>
        <w:spacing w:after="200"/>
        <w:ind w:left="705" w:hanging="705"/>
        <w:jc w:val="both"/>
        <w:rPr>
          <w:rFonts w:ascii="Calibri" w:eastAsia="Calibri" w:hAnsi="Calibri"/>
          <w:b/>
          <w:sz w:val="22"/>
          <w:szCs w:val="22"/>
        </w:rPr>
      </w:pPr>
      <w:r w:rsidRPr="00110D72">
        <w:rPr>
          <w:rFonts w:ascii="Calibri" w:eastAsia="Calibri" w:hAnsi="Calibri"/>
          <w:sz w:val="22"/>
          <w:szCs w:val="22"/>
        </w:rPr>
        <w:t>1.1</w:t>
      </w:r>
      <w:r w:rsidRPr="00110D72">
        <w:rPr>
          <w:rFonts w:ascii="Calibri" w:eastAsia="Calibri" w:hAnsi="Calibri"/>
          <w:sz w:val="22"/>
          <w:szCs w:val="22"/>
        </w:rPr>
        <w:tab/>
        <w:t>“</w:t>
      </w:r>
      <w:r w:rsidRPr="00110D72">
        <w:rPr>
          <w:rFonts w:ascii="Calibri" w:eastAsia="Calibri" w:hAnsi="Calibri"/>
          <w:b/>
          <w:sz w:val="22"/>
          <w:szCs w:val="22"/>
        </w:rPr>
        <w:t>Affiliates</w:t>
      </w:r>
      <w:r w:rsidRPr="00110D72">
        <w:rPr>
          <w:rFonts w:ascii="Calibri" w:eastAsia="Calibri" w:hAnsi="Calibri"/>
          <w:sz w:val="22"/>
          <w:szCs w:val="22"/>
        </w:rPr>
        <w:t>” means any legal entity controlling, controlled by or under common control with, either directly or indirectly, a “Party”. For these purposes, “control” shall refer to: (</w:t>
      </w:r>
      <w:proofErr w:type="spellStart"/>
      <w:r w:rsidRPr="00110D72">
        <w:rPr>
          <w:rFonts w:ascii="Calibri" w:eastAsia="Calibri" w:hAnsi="Calibri"/>
          <w:sz w:val="22"/>
          <w:szCs w:val="22"/>
        </w:rPr>
        <w:t>i</w:t>
      </w:r>
      <w:proofErr w:type="spellEnd"/>
      <w:r w:rsidRPr="00110D72">
        <w:rPr>
          <w:rFonts w:ascii="Calibri" w:eastAsia="Calibri" w:hAnsi="Calibri"/>
          <w:sz w:val="22"/>
          <w:szCs w:val="22"/>
        </w:rPr>
        <w:t xml:space="preserve">) the possession, directly or indirectly, of the power to direct the management or policies of a person, whether through the ownership of voting rights, by contract or otherwise; or (ii) the ownership, directly or indirectly, of 50% or more of the voting rights or other ownership interest of a person. </w:t>
      </w:r>
    </w:p>
    <w:p w14:paraId="6F663A76"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1.2</w:t>
      </w:r>
      <w:r w:rsidRPr="00110D72">
        <w:rPr>
          <w:rFonts w:ascii="Calibri" w:eastAsia="Calibri" w:hAnsi="Calibri"/>
          <w:sz w:val="22"/>
          <w:szCs w:val="22"/>
        </w:rPr>
        <w:tab/>
        <w:t>The “</w:t>
      </w:r>
      <w:r w:rsidRPr="00110D72">
        <w:rPr>
          <w:rFonts w:ascii="Calibri" w:eastAsia="Calibri" w:hAnsi="Calibri"/>
          <w:b/>
          <w:sz w:val="22"/>
          <w:szCs w:val="22"/>
        </w:rPr>
        <w:t>Agreement</w:t>
      </w:r>
      <w:r w:rsidRPr="00110D72">
        <w:rPr>
          <w:rFonts w:ascii="Calibri" w:eastAsia="Calibri" w:hAnsi="Calibri"/>
          <w:sz w:val="22"/>
          <w:szCs w:val="22"/>
        </w:rPr>
        <w:t xml:space="preserve">” means this Non-Disclosure Agreement for “Experts” </w:t>
      </w:r>
      <w:r w:rsidRPr="00110D72">
        <w:rPr>
          <w:rFonts w:ascii="Calibri" w:eastAsia="Calibri" w:hAnsi="Calibri"/>
          <w:sz w:val="22"/>
          <w:szCs w:val="22"/>
          <w:lang w:val="en-GB"/>
        </w:rPr>
        <w:t>setting out their secrecy obligations in relation to any information made available to it in the framework of “</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w:t>
      </w:r>
      <w:r w:rsidRPr="00110D72">
        <w:rPr>
          <w:rFonts w:ascii="Calibri" w:eastAsia="Calibri" w:hAnsi="Calibri"/>
          <w:sz w:val="22"/>
          <w:szCs w:val="22"/>
          <w:lang w:val="en-GB"/>
        </w:rPr>
        <w:t xml:space="preserve">, </w:t>
      </w:r>
      <w:r w:rsidRPr="00110D72">
        <w:rPr>
          <w:rFonts w:ascii="Calibri" w:eastAsia="Calibri" w:hAnsi="Calibri"/>
          <w:sz w:val="22"/>
          <w:szCs w:val="22"/>
        </w:rPr>
        <w:t xml:space="preserve">as amended from time to </w:t>
      </w:r>
      <w:proofErr w:type="gramStart"/>
      <w:r w:rsidRPr="00110D72">
        <w:rPr>
          <w:rFonts w:ascii="Calibri" w:eastAsia="Calibri" w:hAnsi="Calibri"/>
          <w:sz w:val="22"/>
          <w:szCs w:val="22"/>
        </w:rPr>
        <w:t>time;</w:t>
      </w:r>
      <w:proofErr w:type="gramEnd"/>
    </w:p>
    <w:p w14:paraId="3FDDAD5D"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1.3</w:t>
      </w:r>
      <w:r w:rsidRPr="00110D72">
        <w:rPr>
          <w:rFonts w:ascii="Calibri" w:eastAsia="Calibri" w:hAnsi="Calibri"/>
          <w:sz w:val="22"/>
          <w:szCs w:val="22"/>
        </w:rPr>
        <w:tab/>
        <w:t>The “</w:t>
      </w:r>
      <w:r w:rsidRPr="00110D72">
        <w:rPr>
          <w:rFonts w:ascii="Calibri" w:eastAsia="Calibri" w:hAnsi="Calibri"/>
          <w:b/>
          <w:sz w:val="22"/>
          <w:szCs w:val="22"/>
        </w:rPr>
        <w:t>CLP Regulation</w:t>
      </w:r>
      <w:r w:rsidRPr="00110D72">
        <w:rPr>
          <w:rFonts w:ascii="Calibri" w:eastAsia="Calibri" w:hAnsi="Calibri"/>
          <w:sz w:val="22"/>
          <w:szCs w:val="22"/>
        </w:rPr>
        <w:t xml:space="preserve">” has the meaning set forth in the </w:t>
      </w:r>
      <w:proofErr w:type="gramStart"/>
      <w:r w:rsidRPr="00110D72">
        <w:rPr>
          <w:rFonts w:ascii="Calibri" w:eastAsia="Calibri" w:hAnsi="Calibri"/>
          <w:sz w:val="22"/>
          <w:szCs w:val="22"/>
        </w:rPr>
        <w:t>Preamble;</w:t>
      </w:r>
      <w:proofErr w:type="gramEnd"/>
    </w:p>
    <w:p w14:paraId="3650A339"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lang w:val="en-GB"/>
        </w:rPr>
        <w:t>1.4</w:t>
      </w:r>
      <w:r w:rsidRPr="00110D72">
        <w:rPr>
          <w:rFonts w:ascii="Calibri" w:eastAsia="Calibri" w:hAnsi="Calibri"/>
          <w:sz w:val="22"/>
          <w:szCs w:val="22"/>
          <w:lang w:val="en-GB"/>
        </w:rPr>
        <w:tab/>
        <w:t>The “</w:t>
      </w:r>
      <w:r w:rsidRPr="00110D72">
        <w:rPr>
          <w:rFonts w:ascii="Calibri" w:eastAsia="Calibri" w:hAnsi="Calibri"/>
          <w:b/>
          <w:sz w:val="22"/>
          <w:szCs w:val="22"/>
          <w:lang w:val="en-GB"/>
        </w:rPr>
        <w:t>Database</w:t>
      </w:r>
      <w:r w:rsidRPr="00110D72">
        <w:rPr>
          <w:rFonts w:ascii="Calibri" w:eastAsia="Calibri" w:hAnsi="Calibri"/>
          <w:sz w:val="22"/>
          <w:szCs w:val="22"/>
          <w:lang w:val="en-GB"/>
        </w:rPr>
        <w:t>” means the database of t</w:t>
      </w:r>
      <w:proofErr w:type="spellStart"/>
      <w:r w:rsidRPr="00110D72">
        <w:rPr>
          <w:rFonts w:ascii="Calibri" w:eastAsia="Calibri" w:hAnsi="Calibri"/>
          <w:sz w:val="22"/>
          <w:szCs w:val="22"/>
        </w:rPr>
        <w:t>ested</w:t>
      </w:r>
      <w:proofErr w:type="spellEnd"/>
      <w:r w:rsidRPr="00110D72">
        <w:rPr>
          <w:rFonts w:ascii="Calibri" w:eastAsia="Calibri" w:hAnsi="Calibri"/>
          <w:sz w:val="22"/>
          <w:szCs w:val="22"/>
        </w:rPr>
        <w:t xml:space="preserve"> reference formulations with associated study summaries and selected compositional details, set up for the purpose of “</w:t>
      </w:r>
      <w:proofErr w:type="spellStart"/>
      <w:r w:rsidRPr="00110D72">
        <w:rPr>
          <w:rFonts w:ascii="Calibri" w:eastAsia="Calibri" w:hAnsi="Calibri"/>
          <w:spacing w:val="-3"/>
          <w:sz w:val="22"/>
          <w:szCs w:val="22"/>
        </w:rPr>
        <w:t>DetNet</w:t>
      </w:r>
      <w:proofErr w:type="spellEnd"/>
      <w:r w:rsidRPr="00110D72">
        <w:rPr>
          <w:rFonts w:ascii="Calibri" w:eastAsia="Calibri" w:hAnsi="Calibri"/>
          <w:spacing w:val="-3"/>
          <w:sz w:val="22"/>
          <w:szCs w:val="22"/>
        </w:rPr>
        <w:t>”</w:t>
      </w:r>
      <w:r w:rsidRPr="00110D72" w:rsidDel="002A17B5">
        <w:rPr>
          <w:rFonts w:ascii="Calibri" w:eastAsia="Calibri" w:hAnsi="Calibri"/>
          <w:sz w:val="22"/>
          <w:szCs w:val="22"/>
        </w:rPr>
        <w:t xml:space="preserve"> </w:t>
      </w:r>
      <w:r w:rsidRPr="00110D72">
        <w:rPr>
          <w:rFonts w:ascii="Calibri" w:eastAsia="Calibri" w:hAnsi="Calibri"/>
          <w:sz w:val="22"/>
          <w:szCs w:val="22"/>
        </w:rPr>
        <w:t>and populated with reference formulations supplied by “</w:t>
      </w:r>
      <w:proofErr w:type="spellStart"/>
      <w:r w:rsidRPr="00110D72">
        <w:rPr>
          <w:rFonts w:ascii="Calibri" w:eastAsia="Calibri" w:hAnsi="Calibri"/>
          <w:spacing w:val="-3"/>
          <w:sz w:val="22"/>
          <w:szCs w:val="22"/>
        </w:rPr>
        <w:t>DetNet</w:t>
      </w:r>
      <w:proofErr w:type="spellEnd"/>
      <w:r w:rsidRPr="00110D72">
        <w:rPr>
          <w:rFonts w:ascii="Calibri" w:eastAsia="Calibri" w:hAnsi="Calibri"/>
          <w:sz w:val="22"/>
          <w:szCs w:val="22"/>
        </w:rPr>
        <w:t xml:space="preserve"> Subscribers</w:t>
      </w:r>
      <w:proofErr w:type="gramStart"/>
      <w:r w:rsidRPr="00110D72">
        <w:rPr>
          <w:rFonts w:ascii="Calibri" w:eastAsia="Calibri" w:hAnsi="Calibri"/>
          <w:sz w:val="22"/>
          <w:szCs w:val="22"/>
        </w:rPr>
        <w:t>”;</w:t>
      </w:r>
      <w:proofErr w:type="gramEnd"/>
    </w:p>
    <w:p w14:paraId="4E92A4C3" w14:textId="77777777" w:rsidR="00110D72" w:rsidRPr="00110D72" w:rsidRDefault="00110D72" w:rsidP="00110D72">
      <w:pPr>
        <w:ind w:left="705" w:hanging="705"/>
        <w:jc w:val="both"/>
        <w:rPr>
          <w:rFonts w:ascii="Calibri" w:eastAsia="Calibri" w:hAnsi="Calibri"/>
          <w:sz w:val="22"/>
          <w:szCs w:val="22"/>
          <w:lang w:val="en-GB"/>
        </w:rPr>
      </w:pPr>
      <w:r w:rsidRPr="00110D72">
        <w:rPr>
          <w:rFonts w:ascii="Calibri" w:eastAsia="Calibri" w:hAnsi="Calibri"/>
          <w:sz w:val="22"/>
          <w:szCs w:val="22"/>
          <w:lang w:val="en-GB"/>
        </w:rPr>
        <w:t>1.5</w:t>
      </w:r>
      <w:r w:rsidRPr="00110D72">
        <w:rPr>
          <w:rFonts w:ascii="Calibri" w:eastAsia="Calibri" w:hAnsi="Calibri"/>
          <w:sz w:val="22"/>
          <w:szCs w:val="22"/>
          <w:lang w:val="en-GB"/>
        </w:rPr>
        <w:tab/>
        <w:t>“</w:t>
      </w:r>
      <w:proofErr w:type="spellStart"/>
      <w:r w:rsidRPr="00110D72">
        <w:rPr>
          <w:rFonts w:ascii="Calibri" w:eastAsia="Calibri" w:hAnsi="Calibri"/>
          <w:b/>
          <w:spacing w:val="-3"/>
          <w:sz w:val="22"/>
          <w:szCs w:val="22"/>
        </w:rPr>
        <w:t>DetNet</w:t>
      </w:r>
      <w:proofErr w:type="spellEnd"/>
      <w:r w:rsidRPr="00110D72">
        <w:rPr>
          <w:rFonts w:ascii="Calibri" w:eastAsia="Calibri" w:hAnsi="Calibri"/>
          <w:sz w:val="22"/>
          <w:szCs w:val="22"/>
          <w:lang w:val="en-GB"/>
        </w:rPr>
        <w:t xml:space="preserve">” means the "Detergent Industry Network for CLP Classification", which is based on a database established and operated by A.I.S.E. comprising tested reference formulations supplied by </w:t>
      </w:r>
      <w:proofErr w:type="spellStart"/>
      <w:r w:rsidRPr="00110D72">
        <w:rPr>
          <w:rFonts w:ascii="Calibri" w:eastAsia="Calibri" w:hAnsi="Calibri"/>
          <w:sz w:val="22"/>
          <w:szCs w:val="22"/>
          <w:lang w:val="en-GB"/>
        </w:rPr>
        <w:t>DetNet</w:t>
      </w:r>
      <w:proofErr w:type="spellEnd"/>
      <w:r w:rsidRPr="00110D72">
        <w:rPr>
          <w:rFonts w:ascii="Calibri" w:eastAsia="Calibri" w:hAnsi="Calibri"/>
          <w:sz w:val="22"/>
          <w:szCs w:val="22"/>
          <w:lang w:val="en-GB"/>
        </w:rPr>
        <w:t xml:space="preserve"> Subscribers and by A.I.S.E, as well as associated study summaries and selected compositional </w:t>
      </w:r>
      <w:proofErr w:type="gramStart"/>
      <w:r w:rsidRPr="00110D72">
        <w:rPr>
          <w:rFonts w:ascii="Calibri" w:eastAsia="Calibri" w:hAnsi="Calibri"/>
          <w:sz w:val="22"/>
          <w:szCs w:val="22"/>
          <w:lang w:val="en-GB"/>
        </w:rPr>
        <w:t>details</w:t>
      </w:r>
      <w:r w:rsidRPr="00110D72">
        <w:rPr>
          <w:rFonts w:ascii="Calibri" w:eastAsia="Calibri" w:hAnsi="Calibri"/>
          <w:sz w:val="22"/>
          <w:szCs w:val="22"/>
        </w:rPr>
        <w:t>;</w:t>
      </w:r>
      <w:proofErr w:type="gramEnd"/>
    </w:p>
    <w:p w14:paraId="6AC7AB9F" w14:textId="77777777" w:rsidR="00110D72" w:rsidRPr="00110D72" w:rsidRDefault="00110D72" w:rsidP="00110D72">
      <w:pPr>
        <w:jc w:val="both"/>
        <w:rPr>
          <w:rFonts w:ascii="Calibri" w:eastAsia="Calibri" w:hAnsi="Calibri"/>
          <w:sz w:val="22"/>
          <w:szCs w:val="22"/>
          <w:lang w:val="en-GB"/>
        </w:rPr>
      </w:pPr>
    </w:p>
    <w:p w14:paraId="090FEA5A" w14:textId="77777777" w:rsidR="00110D72" w:rsidRPr="00110D72" w:rsidRDefault="00110D72" w:rsidP="00110D72">
      <w:pPr>
        <w:spacing w:after="200"/>
        <w:ind w:left="705" w:hanging="705"/>
        <w:jc w:val="both"/>
        <w:rPr>
          <w:rFonts w:ascii="Calibri" w:eastAsia="Calibri" w:hAnsi="Calibri"/>
          <w:sz w:val="22"/>
          <w:szCs w:val="22"/>
          <w:lang w:val="en-GB"/>
        </w:rPr>
      </w:pPr>
      <w:r w:rsidRPr="00110D72">
        <w:rPr>
          <w:rFonts w:ascii="Calibri" w:eastAsia="Calibri" w:hAnsi="Calibri"/>
          <w:sz w:val="22"/>
          <w:szCs w:val="22"/>
          <w:lang w:val="en-GB"/>
        </w:rPr>
        <w:t>1.6</w:t>
      </w:r>
      <w:r w:rsidRPr="00110D72">
        <w:rPr>
          <w:rFonts w:ascii="Calibri" w:eastAsia="Calibri" w:hAnsi="Calibri"/>
          <w:sz w:val="22"/>
          <w:szCs w:val="22"/>
          <w:lang w:val="en-GB"/>
        </w:rPr>
        <w:tab/>
        <w:t>The “</w:t>
      </w:r>
      <w:r w:rsidRPr="00110D72">
        <w:rPr>
          <w:rFonts w:ascii="Calibri" w:eastAsia="Calibri" w:hAnsi="Calibri"/>
          <w:b/>
          <w:sz w:val="22"/>
          <w:szCs w:val="22"/>
          <w:lang w:val="en-GB"/>
        </w:rPr>
        <w:t>Classification Record</w:t>
      </w:r>
      <w:r w:rsidRPr="00110D72">
        <w:rPr>
          <w:rFonts w:ascii="Calibri" w:eastAsia="Calibri" w:hAnsi="Calibri"/>
          <w:sz w:val="22"/>
          <w:szCs w:val="22"/>
          <w:lang w:val="en-GB"/>
        </w:rPr>
        <w:t>”</w:t>
      </w:r>
      <w:r w:rsidRPr="00110D72">
        <w:rPr>
          <w:rFonts w:ascii="Calibri" w:eastAsia="Calibri" w:hAnsi="Calibri"/>
          <w:b/>
          <w:i/>
          <w:sz w:val="22"/>
          <w:szCs w:val="22"/>
          <w:lang w:val="en-GB"/>
        </w:rPr>
        <w:t xml:space="preserve"> </w:t>
      </w:r>
      <w:r w:rsidRPr="00110D72">
        <w:rPr>
          <w:rFonts w:ascii="Calibri" w:eastAsia="Calibri" w:hAnsi="Calibri"/>
          <w:sz w:val="22"/>
          <w:szCs w:val="22"/>
          <w:lang w:val="en-GB"/>
        </w:rPr>
        <w:t>means the document summarising the outcome of the Expert’s work on hazard classification of a mixture on behalf of a “</w:t>
      </w:r>
      <w:proofErr w:type="spellStart"/>
      <w:r w:rsidRPr="00110D72">
        <w:rPr>
          <w:rFonts w:ascii="Calibri" w:eastAsia="Calibri" w:hAnsi="Calibri"/>
          <w:spacing w:val="-3"/>
          <w:sz w:val="22"/>
          <w:szCs w:val="22"/>
        </w:rPr>
        <w:t>DetNet</w:t>
      </w:r>
      <w:proofErr w:type="spellEnd"/>
      <w:r w:rsidRPr="00110D72" w:rsidDel="002A17B5">
        <w:rPr>
          <w:rFonts w:ascii="Calibri" w:eastAsia="Calibri" w:hAnsi="Calibri"/>
          <w:sz w:val="22"/>
          <w:szCs w:val="22"/>
          <w:lang w:val="en-GB"/>
        </w:rPr>
        <w:t xml:space="preserve"> </w:t>
      </w:r>
      <w:r w:rsidRPr="00110D72">
        <w:rPr>
          <w:rFonts w:ascii="Calibri" w:eastAsia="Calibri" w:hAnsi="Calibri"/>
          <w:sz w:val="22"/>
          <w:szCs w:val="22"/>
          <w:lang w:val="en-GB"/>
        </w:rPr>
        <w:t xml:space="preserve">Subscriber”. It will include </w:t>
      </w:r>
      <w:r w:rsidRPr="00110D72">
        <w:rPr>
          <w:rFonts w:ascii="Calibri" w:eastAsia="Calibri" w:hAnsi="Calibri"/>
          <w:i/>
          <w:sz w:val="22"/>
          <w:szCs w:val="22"/>
          <w:lang w:val="en-GB"/>
        </w:rPr>
        <w:t>inter alia</w:t>
      </w:r>
      <w:r w:rsidRPr="00110D72">
        <w:rPr>
          <w:rFonts w:ascii="Calibri" w:eastAsia="Calibri" w:hAnsi="Calibri"/>
          <w:sz w:val="22"/>
          <w:szCs w:val="22"/>
          <w:lang w:val="en-GB"/>
        </w:rPr>
        <w:t xml:space="preserve"> the reference formulation(s) used to establish the classification and the compositional details of this reference formulation that are made available for use in the “Database”. “Classification Records” will be stored by the “</w:t>
      </w:r>
      <w:proofErr w:type="spellStart"/>
      <w:r w:rsidRPr="00110D72">
        <w:rPr>
          <w:rFonts w:ascii="Calibri" w:eastAsia="Calibri" w:hAnsi="Calibri"/>
          <w:spacing w:val="-3"/>
          <w:sz w:val="22"/>
          <w:szCs w:val="22"/>
        </w:rPr>
        <w:t>DetNet</w:t>
      </w:r>
      <w:proofErr w:type="spellEnd"/>
      <w:r w:rsidRPr="00110D72">
        <w:rPr>
          <w:rFonts w:ascii="Calibri" w:eastAsia="Calibri" w:hAnsi="Calibri"/>
          <w:sz w:val="22"/>
          <w:szCs w:val="22"/>
          <w:lang w:val="en-GB"/>
        </w:rPr>
        <w:t xml:space="preserve"> Subscriber” having commissioned the classification of that </w:t>
      </w:r>
      <w:proofErr w:type="gramStart"/>
      <w:r w:rsidRPr="00110D72">
        <w:rPr>
          <w:rFonts w:ascii="Calibri" w:eastAsia="Calibri" w:hAnsi="Calibri"/>
          <w:sz w:val="22"/>
          <w:szCs w:val="22"/>
          <w:lang w:val="en-GB"/>
        </w:rPr>
        <w:t>particular mixture</w:t>
      </w:r>
      <w:proofErr w:type="gramEnd"/>
      <w:r w:rsidRPr="00110D72">
        <w:rPr>
          <w:rFonts w:ascii="Calibri" w:eastAsia="Calibri" w:hAnsi="Calibri"/>
          <w:sz w:val="22"/>
          <w:szCs w:val="22"/>
          <w:lang w:val="en-GB"/>
        </w:rPr>
        <w:t>.</w:t>
      </w:r>
    </w:p>
    <w:p w14:paraId="429E2E46"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lang w:val="en-GB"/>
        </w:rPr>
        <w:t>1.7</w:t>
      </w:r>
      <w:r w:rsidRPr="00110D72">
        <w:rPr>
          <w:rFonts w:ascii="Calibri" w:eastAsia="Calibri" w:hAnsi="Calibri"/>
          <w:sz w:val="22"/>
          <w:szCs w:val="22"/>
          <w:lang w:val="en-GB"/>
        </w:rPr>
        <w:tab/>
        <w:t>A “</w:t>
      </w:r>
      <w:r w:rsidRPr="00110D72">
        <w:rPr>
          <w:rFonts w:ascii="Calibri" w:eastAsia="Calibri" w:hAnsi="Calibri"/>
          <w:b/>
          <w:sz w:val="22"/>
          <w:szCs w:val="22"/>
          <w:lang w:val="en-GB"/>
        </w:rPr>
        <w:t>Competent Authority</w:t>
      </w:r>
      <w:r w:rsidRPr="00110D72">
        <w:rPr>
          <w:rFonts w:ascii="Calibri" w:eastAsia="Calibri" w:hAnsi="Calibri"/>
          <w:sz w:val="22"/>
          <w:szCs w:val="22"/>
          <w:lang w:val="en-GB"/>
        </w:rPr>
        <w:t xml:space="preserve">” means any national or supranational authority supervising or controlling the implementation of the CLP </w:t>
      </w:r>
      <w:proofErr w:type="gramStart"/>
      <w:r w:rsidRPr="00110D72">
        <w:rPr>
          <w:rFonts w:ascii="Calibri" w:eastAsia="Calibri" w:hAnsi="Calibri"/>
          <w:sz w:val="22"/>
          <w:szCs w:val="22"/>
          <w:lang w:val="en-GB"/>
        </w:rPr>
        <w:t>Regulation;</w:t>
      </w:r>
      <w:proofErr w:type="gramEnd"/>
      <w:r w:rsidRPr="00110D72">
        <w:rPr>
          <w:rFonts w:ascii="Calibri" w:eastAsia="Calibri" w:hAnsi="Calibri"/>
          <w:sz w:val="22"/>
          <w:szCs w:val="22"/>
          <w:lang w:val="en-GB"/>
        </w:rPr>
        <w:t xml:space="preserve"> </w:t>
      </w:r>
    </w:p>
    <w:p w14:paraId="49621A62"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lastRenderedPageBreak/>
        <w:t>1.8</w:t>
      </w:r>
      <w:r w:rsidRPr="00110D72">
        <w:rPr>
          <w:rFonts w:ascii="Calibri" w:eastAsia="Calibri" w:hAnsi="Calibri"/>
          <w:sz w:val="22"/>
          <w:szCs w:val="22"/>
        </w:rPr>
        <w:tab/>
        <w:t>The “</w:t>
      </w:r>
      <w:r w:rsidRPr="00110D72">
        <w:rPr>
          <w:rFonts w:ascii="Calibri" w:eastAsia="Calibri" w:hAnsi="Calibri"/>
          <w:b/>
          <w:sz w:val="22"/>
          <w:szCs w:val="22"/>
        </w:rPr>
        <w:t>Confidential Information</w:t>
      </w:r>
      <w:r w:rsidRPr="00110D72">
        <w:rPr>
          <w:rFonts w:ascii="Calibri" w:eastAsia="Calibri" w:hAnsi="Calibri"/>
          <w:sz w:val="22"/>
          <w:szCs w:val="22"/>
        </w:rPr>
        <w:t xml:space="preserve">” means data or information, including without limitation, the Reference Formulations in the «Database» and the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information that will be used in the “Classification Record”. While most of the “Confidential Information” is provided by companies, some of the study summaries have been generated by </w:t>
      </w:r>
      <w:proofErr w:type="gramStart"/>
      <w:r w:rsidRPr="00110D72">
        <w:rPr>
          <w:rFonts w:ascii="Calibri" w:eastAsia="Calibri" w:hAnsi="Calibri"/>
          <w:sz w:val="22"/>
          <w:szCs w:val="22"/>
        </w:rPr>
        <w:t>A.I.S.E.;</w:t>
      </w:r>
      <w:proofErr w:type="gramEnd"/>
    </w:p>
    <w:p w14:paraId="539AEB1B" w14:textId="77777777" w:rsidR="00110D72" w:rsidRPr="00110D72" w:rsidRDefault="00110D72" w:rsidP="00110D72">
      <w:pPr>
        <w:ind w:left="705" w:hanging="705"/>
        <w:jc w:val="both"/>
        <w:rPr>
          <w:rFonts w:ascii="Calibri" w:eastAsia="Calibri" w:hAnsi="Calibri"/>
          <w:sz w:val="22"/>
          <w:szCs w:val="22"/>
        </w:rPr>
      </w:pPr>
      <w:r w:rsidRPr="00110D72">
        <w:rPr>
          <w:rFonts w:ascii="Calibri" w:eastAsia="Calibri" w:hAnsi="Calibri"/>
          <w:sz w:val="22"/>
          <w:szCs w:val="22"/>
        </w:rPr>
        <w:t>1.9</w:t>
      </w:r>
      <w:r w:rsidRPr="00110D72">
        <w:rPr>
          <w:rFonts w:ascii="Calibri" w:eastAsia="Calibri" w:hAnsi="Calibri"/>
          <w:sz w:val="22"/>
          <w:szCs w:val="22"/>
        </w:rPr>
        <w:tab/>
        <w:t>“</w:t>
      </w:r>
      <w:proofErr w:type="spellStart"/>
      <w:r w:rsidRPr="00110D72">
        <w:rPr>
          <w:rFonts w:ascii="Calibri" w:eastAsia="Calibri" w:hAnsi="Calibri"/>
          <w:b/>
          <w:sz w:val="22"/>
          <w:szCs w:val="22"/>
        </w:rPr>
        <w:t>DetNet</w:t>
      </w:r>
      <w:proofErr w:type="spellEnd"/>
      <w:r w:rsidRPr="00110D72">
        <w:rPr>
          <w:rFonts w:ascii="Calibri" w:eastAsia="Calibri" w:hAnsi="Calibri"/>
          <w:b/>
          <w:sz w:val="22"/>
          <w:szCs w:val="22"/>
        </w:rPr>
        <w:t xml:space="preserve"> Subscriber</w:t>
      </w:r>
      <w:r w:rsidRPr="00110D72">
        <w:rPr>
          <w:rFonts w:ascii="Calibri" w:eastAsia="Calibri" w:hAnsi="Calibri"/>
          <w:sz w:val="22"/>
          <w:szCs w:val="22"/>
        </w:rPr>
        <w:t xml:space="preserve">” means a legal or natural person that corresponds to the definition of “supplier” under article 2.26 of the CLP Regulation, </w:t>
      </w:r>
      <w:r w:rsidRPr="00110D72">
        <w:rPr>
          <w:rFonts w:ascii="Calibri" w:eastAsia="Calibri" w:hAnsi="Calibri"/>
          <w:bCs/>
          <w:sz w:val="22"/>
          <w:szCs w:val="22"/>
        </w:rPr>
        <w:t>active in the field of detergents and cleaning products and required to comply with certain classification obligations under the CLP Regulation.  The “</w:t>
      </w:r>
      <w:proofErr w:type="spellStart"/>
      <w:r w:rsidRPr="00110D72">
        <w:rPr>
          <w:rFonts w:ascii="Calibri" w:eastAsia="Calibri" w:hAnsi="Calibri"/>
          <w:bCs/>
          <w:sz w:val="22"/>
          <w:szCs w:val="22"/>
        </w:rPr>
        <w:t>DetNet</w:t>
      </w:r>
      <w:proofErr w:type="spellEnd"/>
      <w:r w:rsidRPr="00110D72">
        <w:rPr>
          <w:rFonts w:ascii="Calibri" w:eastAsia="Calibri" w:hAnsi="Calibri"/>
          <w:bCs/>
          <w:sz w:val="22"/>
          <w:szCs w:val="22"/>
        </w:rPr>
        <w:t xml:space="preserve"> Subscriber has subscribed </w:t>
      </w:r>
      <w:proofErr w:type="gramStart"/>
      <w:r w:rsidRPr="00110D72">
        <w:rPr>
          <w:rFonts w:ascii="Calibri" w:eastAsia="Calibri" w:hAnsi="Calibri"/>
          <w:bCs/>
          <w:sz w:val="22"/>
          <w:szCs w:val="22"/>
        </w:rPr>
        <w:t xml:space="preserve">to </w:t>
      </w:r>
      <w:r w:rsidRPr="00110D72">
        <w:rPr>
          <w:rFonts w:ascii="Calibri" w:eastAsia="Calibri" w:hAnsi="Calibri"/>
          <w:sz w:val="22"/>
          <w:szCs w:val="22"/>
          <w:lang w:val="en-GB"/>
        </w:rPr>
        <w:t xml:space="preserve"> use</w:t>
      </w:r>
      <w:proofErr w:type="gramEnd"/>
      <w:r w:rsidRPr="00110D72">
        <w:rPr>
          <w:rFonts w:ascii="Calibri" w:eastAsia="Calibri" w:hAnsi="Calibri"/>
          <w:sz w:val="22"/>
          <w:szCs w:val="22"/>
          <w:lang w:val="en-GB"/>
        </w:rPr>
        <w:t xml:space="preserve"> “</w:t>
      </w:r>
      <w:proofErr w:type="spellStart"/>
      <w:r w:rsidRPr="00110D72">
        <w:rPr>
          <w:rFonts w:ascii="Calibri" w:eastAsia="Calibri" w:hAnsi="Calibri"/>
          <w:sz w:val="22"/>
          <w:szCs w:val="22"/>
          <w:lang w:val="en-GB"/>
        </w:rPr>
        <w:t>DetNet</w:t>
      </w:r>
      <w:proofErr w:type="spellEnd"/>
      <w:r w:rsidRPr="00110D72">
        <w:rPr>
          <w:rFonts w:ascii="Calibri" w:eastAsia="Calibri" w:hAnsi="Calibri"/>
          <w:sz w:val="22"/>
          <w:szCs w:val="22"/>
          <w:lang w:val="en-GB"/>
        </w:rPr>
        <w:t xml:space="preserve">”. </w:t>
      </w:r>
      <w:r w:rsidRPr="00110D72">
        <w:rPr>
          <w:rFonts w:ascii="Calibri" w:eastAsia="Calibri" w:hAnsi="Calibri"/>
          <w:sz w:val="22"/>
          <w:szCs w:val="22"/>
        </w:rPr>
        <w:t xml:space="preserve">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Subscribers” must nominate Experts for the purpose described in 1.10. </w:t>
      </w:r>
    </w:p>
    <w:p w14:paraId="793A4BEA" w14:textId="77777777" w:rsidR="00110D72" w:rsidRPr="00110D72" w:rsidRDefault="00110D72" w:rsidP="00110D72">
      <w:pPr>
        <w:ind w:left="705" w:hanging="705"/>
        <w:jc w:val="both"/>
        <w:rPr>
          <w:rFonts w:ascii="Calibri" w:eastAsia="Calibri" w:hAnsi="Calibri"/>
          <w:sz w:val="22"/>
          <w:szCs w:val="22"/>
        </w:rPr>
      </w:pPr>
    </w:p>
    <w:p w14:paraId="4C7F396E"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1.10</w:t>
      </w:r>
      <w:r w:rsidRPr="00110D72">
        <w:rPr>
          <w:rFonts w:ascii="Calibri" w:eastAsia="Calibri" w:hAnsi="Calibri"/>
          <w:sz w:val="22"/>
          <w:szCs w:val="22"/>
        </w:rPr>
        <w:tab/>
        <w:t>“</w:t>
      </w:r>
      <w:r w:rsidRPr="00110D72">
        <w:rPr>
          <w:rFonts w:ascii="Calibri" w:eastAsia="Calibri" w:hAnsi="Calibri"/>
          <w:b/>
          <w:sz w:val="22"/>
          <w:szCs w:val="22"/>
        </w:rPr>
        <w:t>Nominated Expert</w:t>
      </w:r>
      <w:r w:rsidRPr="00110D72">
        <w:rPr>
          <w:rFonts w:ascii="Calibri" w:eastAsia="Calibri" w:hAnsi="Calibri"/>
          <w:sz w:val="22"/>
          <w:szCs w:val="22"/>
        </w:rPr>
        <w:t>” means a suitably qualified and experienced scientist with the scientific competence and skills to carry out hazard classification of detergents products as per the CLP Regulation. “Nominated Experts” are nominated by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Subscribers” for the purpose of identifying the relevant information on certain reference formulations which may be used to classify the Subscribers’ own untested mixtures. </w:t>
      </w:r>
    </w:p>
    <w:p w14:paraId="47CB20AE"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1.11</w:t>
      </w:r>
      <w:r w:rsidRPr="00110D72">
        <w:rPr>
          <w:rFonts w:ascii="Calibri" w:eastAsia="Calibri" w:hAnsi="Calibri"/>
          <w:sz w:val="22"/>
          <w:szCs w:val="22"/>
        </w:rPr>
        <w:tab/>
        <w:t>The “</w:t>
      </w:r>
      <w:r w:rsidRPr="00110D72">
        <w:rPr>
          <w:rFonts w:ascii="Calibri" w:eastAsia="Calibri" w:hAnsi="Calibri"/>
          <w:b/>
          <w:sz w:val="22"/>
          <w:szCs w:val="22"/>
        </w:rPr>
        <w:t>Mission</w:t>
      </w:r>
      <w:r w:rsidRPr="00110D72">
        <w:rPr>
          <w:rFonts w:ascii="Calibri" w:eastAsia="Calibri" w:hAnsi="Calibri"/>
          <w:sz w:val="22"/>
          <w:szCs w:val="22"/>
        </w:rPr>
        <w:t xml:space="preserve">”” has the meaning set forth in the </w:t>
      </w:r>
      <w:proofErr w:type="gramStart"/>
      <w:r w:rsidRPr="00110D72">
        <w:rPr>
          <w:rFonts w:ascii="Calibri" w:eastAsia="Calibri" w:hAnsi="Calibri"/>
          <w:sz w:val="22"/>
          <w:szCs w:val="22"/>
        </w:rPr>
        <w:t>Preamble;</w:t>
      </w:r>
      <w:proofErr w:type="gramEnd"/>
    </w:p>
    <w:p w14:paraId="56B18661" w14:textId="77777777" w:rsidR="00110D72" w:rsidRPr="00110D72" w:rsidRDefault="00110D72" w:rsidP="00110D72">
      <w:pPr>
        <w:spacing w:after="200"/>
        <w:ind w:left="705" w:hanging="705"/>
        <w:jc w:val="both"/>
        <w:rPr>
          <w:rFonts w:ascii="Calibri" w:eastAsia="Calibri" w:hAnsi="Calibri"/>
          <w:sz w:val="22"/>
          <w:szCs w:val="22"/>
        </w:rPr>
      </w:pPr>
    </w:p>
    <w:p w14:paraId="737D28E7" w14:textId="77777777" w:rsidR="00110D72" w:rsidRPr="00110D72" w:rsidRDefault="00110D72" w:rsidP="00110D72">
      <w:pPr>
        <w:spacing w:after="200"/>
        <w:contextualSpacing/>
        <w:jc w:val="both"/>
        <w:rPr>
          <w:rFonts w:ascii="Calibri" w:eastAsia="Calibri" w:hAnsi="Calibri"/>
          <w:b/>
          <w:sz w:val="22"/>
          <w:szCs w:val="22"/>
        </w:rPr>
      </w:pPr>
      <w:r w:rsidRPr="00110D72">
        <w:rPr>
          <w:rFonts w:ascii="Calibri" w:eastAsia="Calibri" w:hAnsi="Calibri"/>
          <w:b/>
          <w:sz w:val="22"/>
          <w:szCs w:val="22"/>
        </w:rPr>
        <w:t>ARTICLE 2 – Training</w:t>
      </w:r>
    </w:p>
    <w:p w14:paraId="239714D0" w14:textId="77777777" w:rsidR="00110D72" w:rsidRPr="00110D72" w:rsidRDefault="00110D72" w:rsidP="00110D72">
      <w:pPr>
        <w:spacing w:after="200"/>
        <w:contextualSpacing/>
        <w:jc w:val="both"/>
        <w:rPr>
          <w:rFonts w:ascii="Calibri" w:eastAsia="Calibri" w:hAnsi="Calibri"/>
          <w:b/>
          <w:sz w:val="22"/>
          <w:szCs w:val="22"/>
        </w:rPr>
      </w:pPr>
    </w:p>
    <w:p w14:paraId="760642CE" w14:textId="77777777" w:rsidR="00110D72" w:rsidRPr="00110D72" w:rsidRDefault="00110D72" w:rsidP="00110D72">
      <w:pPr>
        <w:spacing w:after="200"/>
        <w:contextualSpacing/>
        <w:jc w:val="both"/>
        <w:rPr>
          <w:rFonts w:ascii="Calibri" w:hAnsi="Calibri"/>
          <w:sz w:val="22"/>
          <w:szCs w:val="22"/>
          <w:lang w:eastAsia="fr-BE"/>
        </w:rPr>
      </w:pPr>
      <w:r w:rsidRPr="00110D72">
        <w:rPr>
          <w:rFonts w:ascii="Calibri" w:eastAsia="Calibri" w:hAnsi="Calibri"/>
          <w:sz w:val="22"/>
          <w:szCs w:val="22"/>
        </w:rPr>
        <w:t>The “Expert” warrants that prior to start using “</w:t>
      </w:r>
      <w:proofErr w:type="spellStart"/>
      <w:proofErr w:type="gramStart"/>
      <w:r w:rsidRPr="00110D72">
        <w:rPr>
          <w:rFonts w:ascii="Calibri" w:eastAsia="Calibri" w:hAnsi="Calibri"/>
          <w:sz w:val="22"/>
          <w:szCs w:val="22"/>
        </w:rPr>
        <w:t>DetNet</w:t>
      </w:r>
      <w:proofErr w:type="spellEnd"/>
      <w:r w:rsidRPr="00110D72">
        <w:rPr>
          <w:rFonts w:ascii="Calibri" w:eastAsia="Calibri" w:hAnsi="Calibri"/>
          <w:sz w:val="22"/>
          <w:szCs w:val="22"/>
        </w:rPr>
        <w:t>”  for</w:t>
      </w:r>
      <w:proofErr w:type="gramEnd"/>
      <w:r w:rsidRPr="00110D72">
        <w:rPr>
          <w:rFonts w:ascii="Calibri" w:eastAsia="Calibri" w:hAnsi="Calibri"/>
          <w:sz w:val="22"/>
          <w:szCs w:val="22"/>
        </w:rPr>
        <w:t xml:space="preserve"> the purpose of the “Mission” he/she will have completed within the first month of the Company’s membership  the training specifically established to train “Nominated Experts” on the correct use of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The Training is available in the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Members Area as an online webinar. It includes </w:t>
      </w:r>
      <w:r w:rsidRPr="00110D72">
        <w:rPr>
          <w:rFonts w:ascii="Calibri" w:eastAsia="Calibri" w:hAnsi="Calibri"/>
          <w:i/>
          <w:sz w:val="22"/>
          <w:szCs w:val="22"/>
        </w:rPr>
        <w:t>inter alia</w:t>
      </w:r>
      <w:r w:rsidRPr="00110D72">
        <w:rPr>
          <w:rFonts w:ascii="Calibri" w:eastAsia="Calibri" w:hAnsi="Calibri"/>
          <w:sz w:val="22"/>
          <w:szCs w:val="22"/>
        </w:rPr>
        <w:t xml:space="preserve"> information on the “</w:t>
      </w:r>
      <w:proofErr w:type="spellStart"/>
      <w:r w:rsidRPr="00110D72">
        <w:rPr>
          <w:rFonts w:ascii="Calibri" w:hAnsi="Calibri"/>
          <w:sz w:val="22"/>
          <w:szCs w:val="22"/>
          <w:lang w:eastAsia="fr-BE"/>
        </w:rPr>
        <w:t>DetNet</w:t>
      </w:r>
      <w:proofErr w:type="spellEnd"/>
      <w:r w:rsidRPr="00110D72">
        <w:rPr>
          <w:rFonts w:ascii="Calibri" w:hAnsi="Calibri"/>
          <w:sz w:val="22"/>
          <w:szCs w:val="22"/>
          <w:lang w:eastAsia="fr-BE"/>
        </w:rPr>
        <w:t>” web tool usage (explaining the user manual) and associated procedures; classification process (based on A.I.S.E.’s classification explanatory notes) and classification records.</w:t>
      </w:r>
    </w:p>
    <w:p w14:paraId="693DD178" w14:textId="77777777" w:rsidR="00110D72" w:rsidRPr="00110D72" w:rsidRDefault="00110D72" w:rsidP="00110D72">
      <w:pPr>
        <w:spacing w:after="200"/>
        <w:contextualSpacing/>
        <w:jc w:val="both"/>
        <w:rPr>
          <w:rFonts w:ascii="Calibri" w:hAnsi="Calibri"/>
          <w:sz w:val="22"/>
          <w:szCs w:val="22"/>
          <w:lang w:eastAsia="fr-BE"/>
        </w:rPr>
      </w:pPr>
    </w:p>
    <w:p w14:paraId="0399D385" w14:textId="77777777" w:rsidR="00110D72" w:rsidRPr="00110D72" w:rsidRDefault="00110D72" w:rsidP="00110D72">
      <w:pPr>
        <w:spacing w:after="200"/>
        <w:contextualSpacing/>
        <w:jc w:val="both"/>
        <w:rPr>
          <w:rFonts w:ascii="Calibri" w:eastAsia="Calibri" w:hAnsi="Calibri"/>
          <w:b/>
          <w:sz w:val="22"/>
          <w:szCs w:val="22"/>
        </w:rPr>
      </w:pPr>
      <w:r w:rsidRPr="00110D72">
        <w:rPr>
          <w:rFonts w:ascii="Calibri" w:hAnsi="Calibri"/>
          <w:sz w:val="22"/>
          <w:szCs w:val="22"/>
          <w:lang w:eastAsia="fr-BE"/>
        </w:rPr>
        <w:t xml:space="preserve"> </w:t>
      </w:r>
    </w:p>
    <w:p w14:paraId="3F545083" w14:textId="77777777" w:rsidR="00110D72" w:rsidRPr="00110D72" w:rsidRDefault="00110D72" w:rsidP="00110D72">
      <w:pPr>
        <w:spacing w:after="200"/>
        <w:contextualSpacing/>
        <w:jc w:val="both"/>
        <w:rPr>
          <w:rFonts w:ascii="Calibri" w:eastAsia="Calibri" w:hAnsi="Calibri"/>
          <w:b/>
          <w:sz w:val="22"/>
          <w:szCs w:val="22"/>
        </w:rPr>
      </w:pPr>
      <w:r w:rsidRPr="00110D72">
        <w:rPr>
          <w:rFonts w:ascii="Calibri" w:eastAsia="Calibri" w:hAnsi="Calibri"/>
          <w:b/>
          <w:sz w:val="22"/>
          <w:szCs w:val="22"/>
        </w:rPr>
        <w:t>ARTICLE 3 – Confidentiality obligations</w:t>
      </w:r>
    </w:p>
    <w:p w14:paraId="20A17819"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3.1</w:t>
      </w:r>
      <w:r w:rsidRPr="00110D72">
        <w:rPr>
          <w:rFonts w:ascii="Calibri" w:eastAsia="Calibri" w:hAnsi="Calibri"/>
          <w:sz w:val="22"/>
          <w:szCs w:val="22"/>
        </w:rPr>
        <w:tab/>
        <w:t>The “Expert” recognizes that in connection with the consultation of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for the purpose of the “Mission”, he/she will receive access to “Confidential Information”. The “Expert” acknowledges that all “Confidential Information” is proprietary to and for “</w:t>
      </w:r>
      <w:proofErr w:type="spellStart"/>
      <w:proofErr w:type="gramStart"/>
      <w:r w:rsidRPr="00110D72">
        <w:rPr>
          <w:rFonts w:ascii="Calibri" w:eastAsia="Calibri" w:hAnsi="Calibri"/>
          <w:sz w:val="22"/>
          <w:szCs w:val="22"/>
        </w:rPr>
        <w:t>DetNet</w:t>
      </w:r>
      <w:proofErr w:type="spellEnd"/>
      <w:r w:rsidRPr="00110D72">
        <w:rPr>
          <w:rFonts w:ascii="Calibri" w:eastAsia="Calibri" w:hAnsi="Calibri"/>
          <w:sz w:val="22"/>
          <w:szCs w:val="22"/>
        </w:rPr>
        <w:t xml:space="preserve">  Subscribers</w:t>
      </w:r>
      <w:proofErr w:type="gramEnd"/>
      <w:r w:rsidRPr="00110D72">
        <w:rPr>
          <w:rFonts w:ascii="Calibri" w:eastAsia="Calibri" w:hAnsi="Calibri"/>
          <w:sz w:val="22"/>
          <w:szCs w:val="22"/>
        </w:rPr>
        <w:t xml:space="preserve">” that have agreed to include it into the “Database”. It is a valuable trade </w:t>
      </w:r>
      <w:proofErr w:type="gramStart"/>
      <w:r w:rsidRPr="00110D72">
        <w:rPr>
          <w:rFonts w:ascii="Calibri" w:eastAsia="Calibri" w:hAnsi="Calibri"/>
          <w:sz w:val="22"/>
          <w:szCs w:val="22"/>
        </w:rPr>
        <w:t>secret</w:t>
      </w:r>
      <w:proofErr w:type="gramEnd"/>
      <w:r w:rsidRPr="00110D72">
        <w:rPr>
          <w:rFonts w:ascii="Calibri" w:eastAsia="Calibri" w:hAnsi="Calibri"/>
          <w:sz w:val="22"/>
          <w:szCs w:val="22"/>
        </w:rPr>
        <w:t xml:space="preserve"> and that any disclosure or unauthorized use thereof may cause irreparable harm and loss to the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Subscribers” concerned. The “Expert”, therefore, </w:t>
      </w:r>
      <w:proofErr w:type="gramStart"/>
      <w:r w:rsidRPr="00110D72">
        <w:rPr>
          <w:rFonts w:ascii="Calibri" w:eastAsia="Calibri" w:hAnsi="Calibri"/>
          <w:sz w:val="22"/>
          <w:szCs w:val="22"/>
        </w:rPr>
        <w:t>irrevocably</w:t>
      </w:r>
      <w:proofErr w:type="gramEnd"/>
      <w:r w:rsidRPr="00110D72">
        <w:rPr>
          <w:rFonts w:ascii="Calibri" w:eastAsia="Calibri" w:hAnsi="Calibri"/>
          <w:sz w:val="22"/>
          <w:szCs w:val="22"/>
        </w:rPr>
        <w:t xml:space="preserve"> and unconditionally undertakes that: </w:t>
      </w:r>
    </w:p>
    <w:p w14:paraId="6D892DFF" w14:textId="77777777" w:rsidR="00110D72" w:rsidRP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3.1.1</w:t>
      </w:r>
      <w:r w:rsidRPr="00110D72">
        <w:rPr>
          <w:rFonts w:ascii="Calibri" w:eastAsia="Calibri" w:hAnsi="Calibri"/>
          <w:sz w:val="22"/>
          <w:szCs w:val="22"/>
        </w:rPr>
        <w:tab/>
        <w:t xml:space="preserve">he/she will treat and safeguard the “Confidential Information” as </w:t>
      </w:r>
      <w:proofErr w:type="gramStart"/>
      <w:r w:rsidRPr="00110D72">
        <w:rPr>
          <w:rFonts w:ascii="Calibri" w:eastAsia="Calibri" w:hAnsi="Calibri"/>
          <w:sz w:val="22"/>
          <w:szCs w:val="22"/>
        </w:rPr>
        <w:t>confidential</w:t>
      </w:r>
      <w:proofErr w:type="gramEnd"/>
    </w:p>
    <w:p w14:paraId="42B68473" w14:textId="77777777" w:rsidR="00110D72" w:rsidRP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3.1.2</w:t>
      </w:r>
      <w:r w:rsidRPr="00110D72">
        <w:rPr>
          <w:rFonts w:ascii="Calibri" w:eastAsia="Calibri" w:hAnsi="Calibri"/>
          <w:sz w:val="22"/>
          <w:szCs w:val="22"/>
        </w:rPr>
        <w:tab/>
        <w:t>he/she will not use the “Confidential Information” for any purpose other than strictly and directly in connection with the “Mission</w:t>
      </w:r>
      <w:proofErr w:type="gramStart"/>
      <w:r w:rsidRPr="00110D72">
        <w:rPr>
          <w:rFonts w:ascii="Calibri" w:eastAsia="Calibri" w:hAnsi="Calibri"/>
          <w:sz w:val="22"/>
          <w:szCs w:val="22"/>
        </w:rPr>
        <w:t>”;</w:t>
      </w:r>
      <w:proofErr w:type="gramEnd"/>
    </w:p>
    <w:p w14:paraId="6F041082" w14:textId="77777777" w:rsidR="00110D72" w:rsidRP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3.1.3</w:t>
      </w:r>
      <w:r w:rsidRPr="00110D72">
        <w:rPr>
          <w:rFonts w:ascii="Calibri" w:eastAsia="Calibri" w:hAnsi="Calibri"/>
          <w:sz w:val="22"/>
          <w:szCs w:val="22"/>
        </w:rPr>
        <w:tab/>
        <w:t>he/she will not, at any time, without A.I.S.E.’s or the data owner’s or the Company’s permission, as relevant, directly or indirectly disclose or reveal any “Confidential Information” to any person or party whatsoever, whether external or internal to the “Company” or any of its “Affiliates”, including any directors, officers, employees, agents, advisers or contractors of the “Company” or any of its “Affiliates</w:t>
      </w:r>
      <w:proofErr w:type="gramStart"/>
      <w:r w:rsidRPr="00110D72">
        <w:rPr>
          <w:rFonts w:ascii="Calibri" w:eastAsia="Calibri" w:hAnsi="Calibri"/>
          <w:sz w:val="22"/>
          <w:szCs w:val="22"/>
        </w:rPr>
        <w:t>”;</w:t>
      </w:r>
      <w:proofErr w:type="gramEnd"/>
      <w:r w:rsidRPr="00110D72">
        <w:rPr>
          <w:rFonts w:ascii="Calibri" w:eastAsia="Calibri" w:hAnsi="Calibri"/>
          <w:sz w:val="22"/>
          <w:szCs w:val="22"/>
        </w:rPr>
        <w:t xml:space="preserve"> </w:t>
      </w:r>
    </w:p>
    <w:p w14:paraId="09FA382D" w14:textId="77777777" w:rsidR="00110D72" w:rsidRP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3.1.4</w:t>
      </w:r>
      <w:r w:rsidRPr="00110D72">
        <w:rPr>
          <w:rFonts w:ascii="Calibri" w:eastAsia="Calibri" w:hAnsi="Calibri"/>
          <w:sz w:val="22"/>
          <w:szCs w:val="22"/>
        </w:rPr>
        <w:tab/>
        <w:t xml:space="preserve">he/she will not duplicate the “Confidential Information” except as </w:t>
      </w:r>
      <w:proofErr w:type="gramStart"/>
      <w:r w:rsidRPr="00110D72">
        <w:rPr>
          <w:rFonts w:ascii="Calibri" w:eastAsia="Calibri" w:hAnsi="Calibri"/>
          <w:sz w:val="22"/>
          <w:szCs w:val="22"/>
        </w:rPr>
        <w:t>absolutely necessary</w:t>
      </w:r>
      <w:proofErr w:type="gramEnd"/>
      <w:r w:rsidRPr="00110D72">
        <w:rPr>
          <w:rFonts w:ascii="Calibri" w:eastAsia="Calibri" w:hAnsi="Calibri"/>
          <w:sz w:val="22"/>
          <w:szCs w:val="22"/>
        </w:rPr>
        <w:t xml:space="preserve"> for the fulfillment of the «Mission». </w:t>
      </w:r>
    </w:p>
    <w:p w14:paraId="5F49CE05"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lastRenderedPageBreak/>
        <w:t>3.2.</w:t>
      </w:r>
      <w:r w:rsidRPr="00110D72">
        <w:rPr>
          <w:rFonts w:ascii="Calibri" w:eastAsia="Calibri" w:hAnsi="Calibri"/>
          <w:sz w:val="22"/>
          <w:szCs w:val="22"/>
        </w:rPr>
        <w:tab/>
        <w:t>This Agreement shall not affect the «Expert»’s right or obligation to “Confidential Information”:</w:t>
      </w:r>
    </w:p>
    <w:p w14:paraId="2D716E15" w14:textId="77777777" w:rsidR="00110D72" w:rsidRP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 xml:space="preserve">3.2.1 </w:t>
      </w:r>
      <w:r w:rsidRPr="00110D72">
        <w:rPr>
          <w:rFonts w:ascii="Calibri" w:eastAsia="Calibri" w:hAnsi="Calibri"/>
          <w:sz w:val="22"/>
          <w:szCs w:val="22"/>
        </w:rPr>
        <w:tab/>
        <w:t>which he/she can demonstrate to have been in the public domain through no wrongful act of the “Expert” prior to the date of the “Expert”’s first consultation of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and the “Database” in relation to the “Confidential Information” </w:t>
      </w:r>
      <w:proofErr w:type="gramStart"/>
      <w:r w:rsidRPr="00110D72">
        <w:rPr>
          <w:rFonts w:ascii="Calibri" w:eastAsia="Calibri" w:hAnsi="Calibri"/>
          <w:sz w:val="22"/>
          <w:szCs w:val="22"/>
        </w:rPr>
        <w:t>concerned;</w:t>
      </w:r>
      <w:proofErr w:type="gramEnd"/>
    </w:p>
    <w:p w14:paraId="7398F46B" w14:textId="77777777" w:rsidR="00110D72" w:rsidRP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 xml:space="preserve">3.2.2 </w:t>
      </w:r>
      <w:r w:rsidRPr="00110D72">
        <w:rPr>
          <w:rFonts w:ascii="Calibri" w:eastAsia="Calibri" w:hAnsi="Calibri"/>
          <w:sz w:val="22"/>
          <w:szCs w:val="22"/>
        </w:rPr>
        <w:tab/>
        <w:t>which becomes part of the public domain by publication or otherwise not due to any unauthorized act or “Mission” on the part of the “Expert</w:t>
      </w:r>
      <w:proofErr w:type="gramStart"/>
      <w:r w:rsidRPr="00110D72">
        <w:rPr>
          <w:rFonts w:ascii="Calibri" w:eastAsia="Calibri" w:hAnsi="Calibri"/>
          <w:sz w:val="22"/>
          <w:szCs w:val="22"/>
        </w:rPr>
        <w:t>”;</w:t>
      </w:r>
      <w:proofErr w:type="gramEnd"/>
      <w:r w:rsidRPr="00110D72">
        <w:rPr>
          <w:rFonts w:ascii="Calibri" w:eastAsia="Calibri" w:hAnsi="Calibri"/>
          <w:sz w:val="22"/>
          <w:szCs w:val="22"/>
        </w:rPr>
        <w:t xml:space="preserve"> </w:t>
      </w:r>
    </w:p>
    <w:p w14:paraId="4DE59013" w14:textId="77777777" w:rsidR="00110D72" w:rsidRP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3.2.3</w:t>
      </w:r>
      <w:r w:rsidRPr="00110D72">
        <w:rPr>
          <w:rFonts w:ascii="Calibri" w:eastAsia="Calibri" w:hAnsi="Calibri"/>
          <w:sz w:val="22"/>
          <w:szCs w:val="22"/>
        </w:rPr>
        <w:tab/>
        <w:t xml:space="preserve"> which the “Expert” can show by written records to have been disclosed to the “Expert” on a non-confidential basis by a third party having a lawful right to do </w:t>
      </w:r>
      <w:proofErr w:type="gramStart"/>
      <w:r w:rsidRPr="00110D72">
        <w:rPr>
          <w:rFonts w:ascii="Calibri" w:eastAsia="Calibri" w:hAnsi="Calibri"/>
          <w:sz w:val="22"/>
          <w:szCs w:val="22"/>
        </w:rPr>
        <w:t>so;</w:t>
      </w:r>
      <w:proofErr w:type="gramEnd"/>
      <w:r w:rsidRPr="00110D72">
        <w:rPr>
          <w:rFonts w:ascii="Calibri" w:eastAsia="Calibri" w:hAnsi="Calibri"/>
          <w:sz w:val="22"/>
          <w:szCs w:val="22"/>
        </w:rPr>
        <w:t xml:space="preserve"> </w:t>
      </w:r>
    </w:p>
    <w:p w14:paraId="7AD5159F" w14:textId="77777777" w:rsidR="00110D72" w:rsidRPr="00110D72" w:rsidRDefault="00110D72" w:rsidP="00110D72">
      <w:pPr>
        <w:spacing w:before="16" w:after="200" w:line="276" w:lineRule="auto"/>
        <w:ind w:left="705" w:right="-20" w:hanging="705"/>
        <w:jc w:val="both"/>
        <w:rPr>
          <w:rFonts w:ascii="Calibri" w:eastAsia="Calibri" w:hAnsi="Calibri" w:cs="Calibri"/>
          <w:b/>
          <w:bCs/>
          <w:sz w:val="22"/>
          <w:szCs w:val="22"/>
        </w:rPr>
      </w:pPr>
      <w:r w:rsidRPr="00110D72">
        <w:rPr>
          <w:rFonts w:ascii="Calibri" w:eastAsia="Calibri" w:hAnsi="Calibri"/>
          <w:sz w:val="22"/>
          <w:szCs w:val="22"/>
        </w:rPr>
        <w:t>3.2.4</w:t>
      </w:r>
      <w:r w:rsidRPr="00110D72">
        <w:rPr>
          <w:rFonts w:ascii="Calibri" w:eastAsia="Calibri" w:hAnsi="Calibri"/>
          <w:sz w:val="22"/>
          <w:szCs w:val="22"/>
        </w:rPr>
        <w:tab/>
        <w:t xml:space="preserve">which a national Competent Authority requests in the framework of an inspection and where the “Expert” is requested by an inspector to review a Classification Record he/she has established; in the framework of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disclosure of Confidential Information to the Competent Authorities in the framework of an inspection shall follow the procedure specifically defined and presented in Appendix 1. </w:t>
      </w:r>
    </w:p>
    <w:p w14:paraId="5BAB641B" w14:textId="77777777" w:rsidR="00110D72" w:rsidRPr="00110D72" w:rsidRDefault="00110D72" w:rsidP="00110D72">
      <w:pPr>
        <w:spacing w:after="200"/>
        <w:ind w:left="1701" w:hanging="992"/>
        <w:jc w:val="both"/>
        <w:rPr>
          <w:rFonts w:ascii="Calibri" w:eastAsia="Calibri" w:hAnsi="Calibri"/>
          <w:sz w:val="22"/>
          <w:szCs w:val="22"/>
        </w:rPr>
      </w:pPr>
    </w:p>
    <w:p w14:paraId="592C36A6" w14:textId="77777777" w:rsidR="00110D72" w:rsidRPr="00110D72" w:rsidRDefault="00110D72" w:rsidP="00110D72">
      <w:pPr>
        <w:spacing w:after="200"/>
        <w:ind w:left="1701" w:hanging="992"/>
        <w:jc w:val="both"/>
        <w:rPr>
          <w:rFonts w:ascii="Calibri" w:eastAsia="Calibri" w:hAnsi="Calibri"/>
          <w:sz w:val="22"/>
          <w:szCs w:val="22"/>
        </w:rPr>
      </w:pPr>
      <w:r w:rsidRPr="00110D72">
        <w:rPr>
          <w:rFonts w:ascii="Calibri" w:eastAsia="Calibri" w:hAnsi="Calibri"/>
          <w:sz w:val="22"/>
          <w:szCs w:val="22"/>
        </w:rPr>
        <w:t>3.3.5.</w:t>
      </w:r>
      <w:r w:rsidRPr="00110D72">
        <w:rPr>
          <w:rFonts w:ascii="Calibri" w:eastAsia="Calibri" w:hAnsi="Calibri"/>
          <w:sz w:val="22"/>
          <w:szCs w:val="22"/>
        </w:rPr>
        <w:tab/>
        <w:t xml:space="preserve">which he/she is obliged to disclose by virtue of a court decision against which no further appeal is open. </w:t>
      </w:r>
    </w:p>
    <w:p w14:paraId="10396C27"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 xml:space="preserve">3.3 </w:t>
      </w:r>
      <w:r w:rsidRPr="00110D72">
        <w:rPr>
          <w:rFonts w:ascii="Calibri" w:eastAsia="Calibri" w:hAnsi="Calibri"/>
          <w:sz w:val="22"/>
          <w:szCs w:val="22"/>
        </w:rPr>
        <w:tab/>
        <w:t xml:space="preserve">The “Expert” and the “Company” jointly and severally agree to indemnify and hold harmless the owner of the “Confidential Information” whose “Confidential Information” the “Expert” may access in the framework of his/her “Mission” from and against all claims, liabilities, losses, damages and expenses as incurred (including reasonable legal fees and disbursements of legal counsels), relating to or arising out of a violation of the confidentiality obligations contained herein. </w:t>
      </w:r>
    </w:p>
    <w:p w14:paraId="05F6D296"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 xml:space="preserve">3.4 </w:t>
      </w:r>
      <w:r w:rsidRPr="00110D72">
        <w:rPr>
          <w:rFonts w:ascii="Calibri" w:eastAsia="Calibri" w:hAnsi="Calibri"/>
          <w:sz w:val="22"/>
          <w:szCs w:val="22"/>
        </w:rPr>
        <w:tab/>
        <w:t xml:space="preserve">Except where expressly specified otherwise, the undertakings </w:t>
      </w:r>
      <w:proofErr w:type="gramStart"/>
      <w:r w:rsidRPr="00110D72">
        <w:rPr>
          <w:rFonts w:ascii="Calibri" w:eastAsia="Calibri" w:hAnsi="Calibri"/>
          <w:sz w:val="22"/>
          <w:szCs w:val="22"/>
        </w:rPr>
        <w:t>entered into</w:t>
      </w:r>
      <w:proofErr w:type="gramEnd"/>
      <w:r w:rsidRPr="00110D72">
        <w:rPr>
          <w:rFonts w:ascii="Calibri" w:eastAsia="Calibri" w:hAnsi="Calibri"/>
          <w:sz w:val="22"/>
          <w:szCs w:val="22"/>
        </w:rPr>
        <w:t xml:space="preserve"> by the “Expert” and the “Company” under this “Agreement” are for the benefit of the owner whose Confidential Information the “Expert” may access in the framework of his/her “Mission”. </w:t>
      </w:r>
    </w:p>
    <w:p w14:paraId="68F983BB" w14:textId="77777777" w:rsidR="00110D72" w:rsidRPr="00110D72" w:rsidRDefault="00110D72" w:rsidP="00110D72">
      <w:pPr>
        <w:spacing w:after="200"/>
        <w:jc w:val="both"/>
        <w:rPr>
          <w:rFonts w:ascii="Calibri" w:eastAsia="Calibri" w:hAnsi="Calibri"/>
          <w:sz w:val="22"/>
          <w:szCs w:val="22"/>
        </w:rPr>
      </w:pPr>
    </w:p>
    <w:p w14:paraId="473F8276" w14:textId="77777777"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ARTICLE 4 - ADDITIONAL OBLIGATIONS OF THE “EXPERT” AND THE “COMPANY”</w:t>
      </w:r>
    </w:p>
    <w:p w14:paraId="6A7CC76D"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4.1</w:t>
      </w:r>
      <w:r w:rsidRPr="00110D72">
        <w:rPr>
          <w:rFonts w:ascii="Calibri" w:eastAsia="Calibri" w:hAnsi="Calibri"/>
          <w:sz w:val="22"/>
          <w:szCs w:val="22"/>
        </w:rPr>
        <w:tab/>
        <w:t>The Parties hereby agree that the access to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and the “Database” and any rights under this Agreement are granted to the ‘Expert’ on an </w:t>
      </w:r>
      <w:proofErr w:type="spellStart"/>
      <w:r w:rsidRPr="00110D72">
        <w:rPr>
          <w:rFonts w:ascii="Calibri" w:eastAsia="Calibri" w:hAnsi="Calibri"/>
          <w:i/>
          <w:sz w:val="22"/>
          <w:szCs w:val="22"/>
        </w:rPr>
        <w:t>intuitu</w:t>
      </w:r>
      <w:proofErr w:type="spellEnd"/>
      <w:r w:rsidRPr="00110D72">
        <w:rPr>
          <w:rFonts w:ascii="Calibri" w:eastAsia="Calibri" w:hAnsi="Calibri"/>
          <w:i/>
          <w:sz w:val="22"/>
          <w:szCs w:val="22"/>
        </w:rPr>
        <w:t xml:space="preserve"> personae</w:t>
      </w:r>
      <w:r w:rsidRPr="00110D72">
        <w:rPr>
          <w:rFonts w:ascii="Calibri" w:eastAsia="Calibri" w:hAnsi="Calibri"/>
          <w:sz w:val="22"/>
          <w:szCs w:val="22"/>
        </w:rPr>
        <w:t xml:space="preserve"> basis. The “Expert” may not assign or otherwise transfer its access to the “</w:t>
      </w:r>
      <w:proofErr w:type="spellStart"/>
      <w:proofErr w:type="gramStart"/>
      <w:r w:rsidRPr="00110D72">
        <w:rPr>
          <w:rFonts w:ascii="Calibri" w:eastAsia="Calibri" w:hAnsi="Calibri"/>
          <w:sz w:val="22"/>
          <w:szCs w:val="22"/>
        </w:rPr>
        <w:t>DetNet</w:t>
      </w:r>
      <w:proofErr w:type="spellEnd"/>
      <w:r w:rsidRPr="00110D72">
        <w:rPr>
          <w:rFonts w:ascii="Calibri" w:eastAsia="Calibri" w:hAnsi="Calibri"/>
          <w:sz w:val="22"/>
          <w:szCs w:val="22"/>
        </w:rPr>
        <w:t>”  and</w:t>
      </w:r>
      <w:proofErr w:type="gramEnd"/>
      <w:r w:rsidRPr="00110D72">
        <w:rPr>
          <w:rFonts w:ascii="Calibri" w:eastAsia="Calibri" w:hAnsi="Calibri"/>
          <w:sz w:val="22"/>
          <w:szCs w:val="22"/>
        </w:rPr>
        <w:t xml:space="preserve"> the “Database” to any person or entity without the prior written consent of A.I.S.E. Neither the “Expert” nor the “Company” may assign or otherwise transfer their rights or obligations under this Agreement to any person or entity without the prior written consent of A.I.S.E.</w:t>
      </w:r>
    </w:p>
    <w:p w14:paraId="4FFB8347"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 xml:space="preserve">4.2 </w:t>
      </w:r>
      <w:r w:rsidRPr="00110D72">
        <w:rPr>
          <w:rFonts w:ascii="Calibri" w:eastAsia="Calibri" w:hAnsi="Calibri"/>
          <w:sz w:val="22"/>
          <w:szCs w:val="22"/>
        </w:rPr>
        <w:tab/>
        <w:t xml:space="preserve">The “Company” shall ensure that adequate measures are taken to allow the “Expert” to keep the “Confidential Information” in a secure manner to avoid any unauthorized disclosure of such “Confidential Information” within or outside of the “Company” and shall ensure that the “Expert” is put in the best possible circumstances to comply with his/her obligations set forth in this Agreement. </w:t>
      </w:r>
    </w:p>
    <w:p w14:paraId="7EE81D18"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lastRenderedPageBreak/>
        <w:t xml:space="preserve">4.3 </w:t>
      </w:r>
      <w:r w:rsidRPr="00110D72">
        <w:rPr>
          <w:rFonts w:ascii="Calibri" w:eastAsia="Calibri" w:hAnsi="Calibri"/>
          <w:sz w:val="22"/>
          <w:szCs w:val="22"/>
        </w:rPr>
        <w:tab/>
        <w:t xml:space="preserve">Upon termination of its employment contract with the “Company” for any reason whatsoever, the “Expert” and/or the “Company” shall immediately return all “Confidential Information” including copies or other written or physical embodiments of, or containing, such “Confidential Information” to A.I.S.E. with the exception of any document or information which the “Company” is compelled to retain for the purposes of the “Mission” or of its own legal obligations. </w:t>
      </w:r>
    </w:p>
    <w:p w14:paraId="29B12DE9" w14:textId="77777777" w:rsidR="00110D72" w:rsidRPr="00110D72" w:rsidRDefault="00110D72" w:rsidP="00110D72">
      <w:pPr>
        <w:spacing w:after="200"/>
        <w:jc w:val="both"/>
        <w:rPr>
          <w:rFonts w:ascii="Calibri" w:eastAsia="Calibri" w:hAnsi="Calibri"/>
          <w:b/>
          <w:sz w:val="22"/>
          <w:szCs w:val="22"/>
        </w:rPr>
      </w:pPr>
    </w:p>
    <w:p w14:paraId="0D3B17CB" w14:textId="77777777"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ARTICLE 5 – DURATION</w:t>
      </w:r>
    </w:p>
    <w:p w14:paraId="2F0C798D"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The undertakings set out in this “Agreement” shall be binding on the “Expert” and on the “Company” for the whole term of the “Expert”’s employment by or services agreement with the “Company” and for a term of 10 years thereafter, starting at the date of signature of this “Agreement”. The parties acknowledge that this duration is warranted by the fact that the “Confidential Information” may retain its value as a trade secret for an indefinite time in the future and thus a disclosure even in the distant future may still cause irreparable harm to the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Subscriber” concerned. </w:t>
      </w:r>
    </w:p>
    <w:p w14:paraId="0C9FCF8C" w14:textId="77777777" w:rsidR="00110D72" w:rsidRPr="00110D72" w:rsidRDefault="00110D72" w:rsidP="00110D72">
      <w:pPr>
        <w:spacing w:after="200"/>
        <w:jc w:val="both"/>
        <w:rPr>
          <w:rFonts w:ascii="Calibri" w:eastAsia="Calibri" w:hAnsi="Calibri"/>
          <w:sz w:val="22"/>
          <w:szCs w:val="22"/>
        </w:rPr>
      </w:pPr>
    </w:p>
    <w:p w14:paraId="69E9DF9C" w14:textId="77777777"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ARTICLE 6 – NO WARRANTY</w:t>
      </w:r>
    </w:p>
    <w:p w14:paraId="4C3454E3"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6.1</w:t>
      </w:r>
      <w:r w:rsidRPr="00110D72">
        <w:rPr>
          <w:rFonts w:ascii="Calibri" w:eastAsia="Calibri" w:hAnsi="Calibri"/>
          <w:sz w:val="22"/>
          <w:szCs w:val="22"/>
        </w:rPr>
        <w:tab/>
        <w:t xml:space="preserve">Nothing in this Agreement will be deemed to be a representation or warranty by A.I.S.E., its employees, agents, directors or members regarding the accuracy, </w:t>
      </w:r>
      <w:proofErr w:type="gramStart"/>
      <w:r w:rsidRPr="00110D72">
        <w:rPr>
          <w:rFonts w:ascii="Calibri" w:eastAsia="Calibri" w:hAnsi="Calibri"/>
          <w:sz w:val="22"/>
          <w:szCs w:val="22"/>
        </w:rPr>
        <w:t>safety</w:t>
      </w:r>
      <w:proofErr w:type="gramEnd"/>
      <w:r w:rsidRPr="00110D72">
        <w:rPr>
          <w:rFonts w:ascii="Calibri" w:eastAsia="Calibri" w:hAnsi="Calibri"/>
          <w:sz w:val="22"/>
          <w:szCs w:val="22"/>
        </w:rPr>
        <w:t xml:space="preserve"> or usefulness for any purpose of the “Confidential Information” at any time made available by A.I.S.E. in the “Database”. A.I.S.E. will have no liability whatsoever should any part of the classification of any products of the “Company” be questioned in any manner or considered inaccurate, </w:t>
      </w:r>
      <w:proofErr w:type="gramStart"/>
      <w:r w:rsidRPr="00110D72">
        <w:rPr>
          <w:rFonts w:ascii="Calibri" w:eastAsia="Calibri" w:hAnsi="Calibri"/>
          <w:sz w:val="22"/>
          <w:szCs w:val="22"/>
        </w:rPr>
        <w:t>incomplete</w:t>
      </w:r>
      <w:proofErr w:type="gramEnd"/>
      <w:r w:rsidRPr="00110D72">
        <w:rPr>
          <w:rFonts w:ascii="Calibri" w:eastAsia="Calibri" w:hAnsi="Calibri"/>
          <w:sz w:val="22"/>
          <w:szCs w:val="22"/>
        </w:rPr>
        <w:t xml:space="preserve"> or insufficient for the purposes of compliance with the “CLP </w:t>
      </w:r>
      <w:proofErr w:type="spellStart"/>
      <w:r w:rsidRPr="00110D72">
        <w:rPr>
          <w:rFonts w:ascii="Calibri" w:eastAsia="Calibri" w:hAnsi="Calibri"/>
          <w:sz w:val="22"/>
          <w:szCs w:val="22"/>
        </w:rPr>
        <w:t>Regulation”’s</w:t>
      </w:r>
      <w:proofErr w:type="spellEnd"/>
      <w:r w:rsidRPr="00110D72">
        <w:rPr>
          <w:rFonts w:ascii="Calibri" w:eastAsia="Calibri" w:hAnsi="Calibri"/>
          <w:sz w:val="22"/>
          <w:szCs w:val="22"/>
        </w:rPr>
        <w:t xml:space="preserve"> requirements and provisions. </w:t>
      </w:r>
    </w:p>
    <w:p w14:paraId="0EA973EA"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6.2</w:t>
      </w:r>
      <w:r w:rsidRPr="00110D72">
        <w:rPr>
          <w:rFonts w:ascii="Calibri" w:eastAsia="Calibri" w:hAnsi="Calibri"/>
          <w:sz w:val="22"/>
          <w:szCs w:val="22"/>
        </w:rPr>
        <w:tab/>
        <w:t>Except in the case of fraud (</w:t>
      </w:r>
      <w:r w:rsidRPr="00110D72">
        <w:rPr>
          <w:rFonts w:ascii="Calibri" w:eastAsia="Calibri" w:hAnsi="Calibri"/>
          <w:i/>
          <w:sz w:val="22"/>
          <w:szCs w:val="22"/>
        </w:rPr>
        <w:t>dol/</w:t>
      </w:r>
      <w:proofErr w:type="spellStart"/>
      <w:r w:rsidRPr="00110D72">
        <w:rPr>
          <w:rFonts w:ascii="Calibri" w:eastAsia="Calibri" w:hAnsi="Calibri"/>
          <w:i/>
          <w:sz w:val="22"/>
          <w:szCs w:val="22"/>
        </w:rPr>
        <w:t>bedrog</w:t>
      </w:r>
      <w:proofErr w:type="spellEnd"/>
      <w:r w:rsidRPr="00110D72">
        <w:rPr>
          <w:rFonts w:ascii="Calibri" w:eastAsia="Calibri" w:hAnsi="Calibri"/>
          <w:sz w:val="22"/>
          <w:szCs w:val="22"/>
        </w:rPr>
        <w:t>) or intentional misconduct (</w:t>
      </w:r>
      <w:proofErr w:type="spellStart"/>
      <w:r w:rsidRPr="00110D72">
        <w:rPr>
          <w:rFonts w:ascii="Calibri" w:eastAsia="Calibri" w:hAnsi="Calibri"/>
          <w:i/>
          <w:sz w:val="22"/>
          <w:szCs w:val="22"/>
        </w:rPr>
        <w:t>faute</w:t>
      </w:r>
      <w:proofErr w:type="spellEnd"/>
      <w:r w:rsidRPr="00110D72">
        <w:rPr>
          <w:rFonts w:ascii="Calibri" w:eastAsia="Calibri" w:hAnsi="Calibri"/>
          <w:i/>
          <w:sz w:val="22"/>
          <w:szCs w:val="22"/>
        </w:rPr>
        <w:t xml:space="preserve"> </w:t>
      </w:r>
      <w:proofErr w:type="spellStart"/>
      <w:r w:rsidRPr="00110D72">
        <w:rPr>
          <w:rFonts w:ascii="Calibri" w:eastAsia="Calibri" w:hAnsi="Calibri"/>
          <w:i/>
          <w:sz w:val="22"/>
          <w:szCs w:val="22"/>
        </w:rPr>
        <w:t>intentionnelle</w:t>
      </w:r>
      <w:proofErr w:type="spellEnd"/>
      <w:r w:rsidRPr="00110D72">
        <w:rPr>
          <w:rFonts w:ascii="Calibri" w:eastAsia="Calibri" w:hAnsi="Calibri"/>
          <w:i/>
          <w:sz w:val="22"/>
          <w:szCs w:val="22"/>
        </w:rPr>
        <w:t>/</w:t>
      </w:r>
      <w:proofErr w:type="spellStart"/>
      <w:r w:rsidRPr="00110D72">
        <w:rPr>
          <w:rFonts w:ascii="Calibri" w:eastAsia="Calibri" w:hAnsi="Calibri"/>
          <w:i/>
          <w:sz w:val="22"/>
          <w:szCs w:val="22"/>
        </w:rPr>
        <w:t>opzettelijke</w:t>
      </w:r>
      <w:proofErr w:type="spellEnd"/>
      <w:r w:rsidRPr="00110D72">
        <w:rPr>
          <w:rFonts w:ascii="Calibri" w:eastAsia="Calibri" w:hAnsi="Calibri"/>
          <w:i/>
          <w:sz w:val="22"/>
          <w:szCs w:val="22"/>
        </w:rPr>
        <w:t xml:space="preserve"> </w:t>
      </w:r>
      <w:proofErr w:type="spellStart"/>
      <w:r w:rsidRPr="00110D72">
        <w:rPr>
          <w:rFonts w:ascii="Calibri" w:eastAsia="Calibri" w:hAnsi="Calibri"/>
          <w:i/>
          <w:sz w:val="22"/>
          <w:szCs w:val="22"/>
        </w:rPr>
        <w:t>fout</w:t>
      </w:r>
      <w:proofErr w:type="spellEnd"/>
      <w:r w:rsidRPr="00110D72">
        <w:rPr>
          <w:rFonts w:ascii="Calibri" w:eastAsia="Calibri" w:hAnsi="Calibri"/>
          <w:sz w:val="22"/>
          <w:szCs w:val="22"/>
        </w:rPr>
        <w:t xml:space="preserve">), A.I.S.E. shall not be liable for any direct, </w:t>
      </w:r>
      <w:proofErr w:type="gramStart"/>
      <w:r w:rsidRPr="00110D72">
        <w:rPr>
          <w:rFonts w:ascii="Calibri" w:eastAsia="Calibri" w:hAnsi="Calibri"/>
          <w:sz w:val="22"/>
          <w:szCs w:val="22"/>
        </w:rPr>
        <w:t>indirect</w:t>
      </w:r>
      <w:proofErr w:type="gramEnd"/>
      <w:r w:rsidRPr="00110D72">
        <w:rPr>
          <w:rFonts w:ascii="Calibri" w:eastAsia="Calibri" w:hAnsi="Calibri"/>
          <w:sz w:val="22"/>
          <w:szCs w:val="22"/>
        </w:rPr>
        <w:t xml:space="preserve"> or consequential loss or damage suffered by the “Expert” or the “Company” or any of its “Affiliate” as a result of its relying on any information contained in or omitted from any “Confidential Information”.</w:t>
      </w:r>
    </w:p>
    <w:p w14:paraId="15D09D9E"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 xml:space="preserve"> </w:t>
      </w:r>
    </w:p>
    <w:p w14:paraId="7F3B866B" w14:textId="77777777"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 xml:space="preserve">ARTICLE 7 – INTELLECTUAL PROPERTY </w:t>
      </w:r>
    </w:p>
    <w:p w14:paraId="29A0B6C6" w14:textId="59A2C799" w:rsidR="004654F8" w:rsidRDefault="00110D72" w:rsidP="00110D72">
      <w:pPr>
        <w:spacing w:after="200"/>
        <w:jc w:val="both"/>
        <w:rPr>
          <w:rFonts w:ascii="Calibri" w:eastAsia="Calibri" w:hAnsi="Calibri"/>
          <w:sz w:val="22"/>
          <w:szCs w:val="22"/>
        </w:rPr>
      </w:pPr>
      <w:r w:rsidRPr="00110D72">
        <w:rPr>
          <w:rFonts w:ascii="Calibri" w:eastAsia="Calibri" w:hAnsi="Calibri"/>
          <w:sz w:val="22"/>
          <w:szCs w:val="22"/>
        </w:rPr>
        <w:t xml:space="preserve">Nothing in this Agreement constitutes a transfer of ownership of “Confidential Information” to the “Expert” or the “Company”. The “Expert” and the “Company” acknowledge that the right, </w:t>
      </w:r>
      <w:proofErr w:type="gramStart"/>
      <w:r w:rsidRPr="00110D72">
        <w:rPr>
          <w:rFonts w:ascii="Calibri" w:eastAsia="Calibri" w:hAnsi="Calibri"/>
          <w:sz w:val="22"/>
          <w:szCs w:val="22"/>
        </w:rPr>
        <w:t>title</w:t>
      </w:r>
      <w:proofErr w:type="gramEnd"/>
      <w:r w:rsidRPr="00110D72">
        <w:rPr>
          <w:rFonts w:ascii="Calibri" w:eastAsia="Calibri" w:hAnsi="Calibri"/>
          <w:sz w:val="22"/>
          <w:szCs w:val="22"/>
        </w:rPr>
        <w:t xml:space="preserve"> and interest in the “Confidential Information” shall be and remain the exclusive property of the owner. Nothing in this “Agreement” is intended to give or shall be interpreted as giving a license or granting usage rights, express or implied, under any of the relevant “</w:t>
      </w:r>
      <w:proofErr w:type="spellStart"/>
      <w:r w:rsidRPr="00110D72">
        <w:rPr>
          <w:rFonts w:ascii="Calibri" w:eastAsia="Calibri" w:hAnsi="Calibri"/>
          <w:sz w:val="22"/>
          <w:szCs w:val="22"/>
        </w:rPr>
        <w:t>DetNet</w:t>
      </w:r>
      <w:proofErr w:type="spellEnd"/>
      <w:r w:rsidRPr="00110D72">
        <w:rPr>
          <w:rFonts w:ascii="Calibri" w:eastAsia="Calibri" w:hAnsi="Calibri"/>
          <w:sz w:val="22"/>
          <w:szCs w:val="22"/>
        </w:rPr>
        <w:t xml:space="preserve"> </w:t>
      </w:r>
      <w:proofErr w:type="spellStart"/>
      <w:r w:rsidRPr="00110D72">
        <w:rPr>
          <w:rFonts w:ascii="Calibri" w:eastAsia="Calibri" w:hAnsi="Calibri"/>
          <w:sz w:val="22"/>
          <w:szCs w:val="22"/>
        </w:rPr>
        <w:t>Subscriber”’s</w:t>
      </w:r>
      <w:proofErr w:type="spellEnd"/>
      <w:r w:rsidRPr="00110D72">
        <w:rPr>
          <w:rFonts w:ascii="Calibri" w:eastAsia="Calibri" w:hAnsi="Calibri"/>
          <w:sz w:val="22"/>
          <w:szCs w:val="22"/>
        </w:rPr>
        <w:t xml:space="preserve"> patents or other rights to A.I.S.E., </w:t>
      </w:r>
      <w:proofErr w:type="gramStart"/>
      <w:r w:rsidRPr="00110D72">
        <w:rPr>
          <w:rFonts w:ascii="Calibri" w:eastAsia="Calibri" w:hAnsi="Calibri"/>
          <w:sz w:val="22"/>
          <w:szCs w:val="22"/>
        </w:rPr>
        <w:t>the  “</w:t>
      </w:r>
      <w:proofErr w:type="gramEnd"/>
      <w:r w:rsidRPr="00110D72">
        <w:rPr>
          <w:rFonts w:ascii="Calibri" w:eastAsia="Calibri" w:hAnsi="Calibri"/>
          <w:sz w:val="22"/>
          <w:szCs w:val="22"/>
        </w:rPr>
        <w:t xml:space="preserve">Expert” or the “Company”. For the sake of clarity, this provision shall not prevent the “Expert” from carrying out the “Mission”. </w:t>
      </w:r>
    </w:p>
    <w:p w14:paraId="69438A19" w14:textId="51E0370C" w:rsidR="00110D72" w:rsidRPr="00110D72" w:rsidRDefault="004654F8" w:rsidP="00110D72">
      <w:pPr>
        <w:spacing w:after="200"/>
        <w:jc w:val="both"/>
        <w:rPr>
          <w:rFonts w:ascii="Calibri" w:eastAsia="Calibri" w:hAnsi="Calibri"/>
          <w:b/>
          <w:sz w:val="22"/>
          <w:szCs w:val="22"/>
        </w:rPr>
      </w:pPr>
      <w:r>
        <w:rPr>
          <w:rFonts w:ascii="Calibri" w:eastAsia="Calibri" w:hAnsi="Calibri"/>
          <w:sz w:val="22"/>
          <w:szCs w:val="22"/>
        </w:rPr>
        <w:br w:type="page"/>
      </w:r>
      <w:r w:rsidR="00110D72" w:rsidRPr="00110D72">
        <w:rPr>
          <w:rFonts w:ascii="Calibri" w:eastAsia="Calibri" w:hAnsi="Calibri"/>
          <w:b/>
          <w:sz w:val="22"/>
          <w:szCs w:val="22"/>
        </w:rPr>
        <w:lastRenderedPageBreak/>
        <w:t>ARTICLE 8 – MISCELLANEOUS</w:t>
      </w:r>
    </w:p>
    <w:p w14:paraId="5F15D00D" w14:textId="77777777"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rPr>
        <w:t>8.1</w:t>
      </w:r>
      <w:r w:rsidRPr="00110D72">
        <w:rPr>
          <w:rFonts w:ascii="Calibri" w:eastAsia="Calibri" w:hAnsi="Calibri"/>
          <w:sz w:val="22"/>
          <w:szCs w:val="22"/>
        </w:rPr>
        <w:tab/>
        <w:t xml:space="preserve">This “Agreement” can be amended only by written agreement duly signed by all “Parties”. </w:t>
      </w:r>
    </w:p>
    <w:p w14:paraId="62DB5CEF"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8.2</w:t>
      </w:r>
      <w:r w:rsidRPr="00110D72">
        <w:rPr>
          <w:rFonts w:ascii="Calibri" w:eastAsia="Calibri" w:hAnsi="Calibri"/>
          <w:sz w:val="22"/>
          <w:szCs w:val="22"/>
        </w:rPr>
        <w:tab/>
        <w:t xml:space="preserve">The provisions of this “Agreement” shall be severable </w:t>
      </w:r>
      <w:proofErr w:type="gramStart"/>
      <w:r w:rsidRPr="00110D72">
        <w:rPr>
          <w:rFonts w:ascii="Calibri" w:eastAsia="Calibri" w:hAnsi="Calibri"/>
          <w:sz w:val="22"/>
          <w:szCs w:val="22"/>
        </w:rPr>
        <w:t>in the event that</w:t>
      </w:r>
      <w:proofErr w:type="gramEnd"/>
      <w:r w:rsidRPr="00110D72">
        <w:rPr>
          <w:rFonts w:ascii="Calibri" w:eastAsia="Calibri" w:hAnsi="Calibri"/>
          <w:sz w:val="22"/>
          <w:szCs w:val="22"/>
        </w:rPr>
        <w:t xml:space="preserve"> any of the provisions hereof are held by a court of competent jurisdiction to be invalid, void or otherwise unenforceable, and the remaining provisions shall remain enforceable to the fullest extent permitted by law. To the extent one or more provisions of this “Agreement” is or becomes invalid or non-binding, such (part of) provision(s) shall be replaced by provisions which are valid and binding and the legal effect of which, given the contents and purposes of this “Agreement”, is, to the greatest extent possible, </w:t>
      </w:r>
      <w:proofErr w:type="gramStart"/>
      <w:r w:rsidRPr="00110D72">
        <w:rPr>
          <w:rFonts w:ascii="Calibri" w:eastAsia="Calibri" w:hAnsi="Calibri"/>
          <w:sz w:val="22"/>
          <w:szCs w:val="22"/>
        </w:rPr>
        <w:t>similar to</w:t>
      </w:r>
      <w:proofErr w:type="gramEnd"/>
      <w:r w:rsidRPr="00110D72">
        <w:rPr>
          <w:rFonts w:ascii="Calibri" w:eastAsia="Calibri" w:hAnsi="Calibri"/>
          <w:sz w:val="22"/>
          <w:szCs w:val="22"/>
        </w:rPr>
        <w:t xml:space="preserve"> that of the invalid or non-binding provisions. </w:t>
      </w:r>
    </w:p>
    <w:p w14:paraId="14893157"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8.3</w:t>
      </w:r>
      <w:r w:rsidRPr="00110D72">
        <w:rPr>
          <w:rFonts w:ascii="Calibri" w:eastAsia="Calibri" w:hAnsi="Calibri"/>
          <w:sz w:val="22"/>
          <w:szCs w:val="22"/>
        </w:rPr>
        <w:tab/>
        <w:t xml:space="preserve">No failure or delay in exercising any right, </w:t>
      </w:r>
      <w:proofErr w:type="gramStart"/>
      <w:r w:rsidRPr="00110D72">
        <w:rPr>
          <w:rFonts w:ascii="Calibri" w:eastAsia="Calibri" w:hAnsi="Calibri"/>
          <w:sz w:val="22"/>
          <w:szCs w:val="22"/>
        </w:rPr>
        <w:t>power</w:t>
      </w:r>
      <w:proofErr w:type="gramEnd"/>
      <w:r w:rsidRPr="00110D72">
        <w:rPr>
          <w:rFonts w:ascii="Calibri" w:eastAsia="Calibri" w:hAnsi="Calibri"/>
          <w:sz w:val="22"/>
          <w:szCs w:val="22"/>
        </w:rPr>
        <w:t xml:space="preserve"> or privilege under this “Agreement” will operate as a waiver of it, nor will any single or partial exercise preclude any further or other exercise of any such right, power or privilege. </w:t>
      </w:r>
    </w:p>
    <w:p w14:paraId="6E369B63" w14:textId="77777777" w:rsidR="00110D72" w:rsidRP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8.4</w:t>
      </w:r>
      <w:r w:rsidRPr="00110D72">
        <w:rPr>
          <w:rFonts w:ascii="Calibri" w:eastAsia="Calibri" w:hAnsi="Calibri"/>
          <w:sz w:val="22"/>
          <w:szCs w:val="22"/>
        </w:rPr>
        <w:tab/>
        <w:t xml:space="preserve">All notices, requests, demands and other communications to be given under this “Agreement” (other than routine operational communications) will be in writing and will be delivered either by hand, by overnight mail, by fax, or by email. Notices sent by email shall also be sent by hand, overnight mail, or by fax if not acknowledged by the receiving party within two business days. All notices shall be effective on the date received. </w:t>
      </w:r>
    </w:p>
    <w:p w14:paraId="3FF41B6D" w14:textId="1DED4469" w:rsidR="00110D72" w:rsidRDefault="00110D72" w:rsidP="00110D72">
      <w:pPr>
        <w:spacing w:after="200"/>
        <w:ind w:left="705" w:hanging="705"/>
        <w:jc w:val="both"/>
        <w:rPr>
          <w:rFonts w:ascii="Calibri" w:eastAsia="Calibri" w:hAnsi="Calibri"/>
          <w:sz w:val="22"/>
          <w:szCs w:val="22"/>
        </w:rPr>
      </w:pPr>
      <w:r w:rsidRPr="00110D72">
        <w:rPr>
          <w:rFonts w:ascii="Calibri" w:eastAsia="Calibri" w:hAnsi="Calibri"/>
          <w:sz w:val="22"/>
          <w:szCs w:val="22"/>
        </w:rPr>
        <w:t xml:space="preserve">8.5 </w:t>
      </w:r>
      <w:r w:rsidRPr="00110D72">
        <w:rPr>
          <w:rFonts w:ascii="Calibri" w:eastAsia="Calibri" w:hAnsi="Calibri"/>
          <w:sz w:val="22"/>
          <w:szCs w:val="22"/>
        </w:rPr>
        <w:tab/>
        <w:t xml:space="preserve">This “Agreement” is governed by Belgian Law. The “Parties” agree that the courts of </w:t>
      </w:r>
      <w:proofErr w:type="gramStart"/>
      <w:r w:rsidRPr="00110D72">
        <w:rPr>
          <w:rFonts w:ascii="Calibri" w:eastAsia="Calibri" w:hAnsi="Calibri"/>
          <w:sz w:val="22"/>
          <w:szCs w:val="22"/>
        </w:rPr>
        <w:t>Brussels,</w:t>
      </w:r>
      <w:proofErr w:type="gramEnd"/>
      <w:r w:rsidRPr="00110D72">
        <w:rPr>
          <w:rFonts w:ascii="Calibri" w:eastAsia="Calibri" w:hAnsi="Calibri"/>
          <w:sz w:val="22"/>
          <w:szCs w:val="22"/>
        </w:rPr>
        <w:t xml:space="preserve"> shall have exclusive jurisdiction to settle any dispute which may arise under or in connection with this “Agreement”. </w:t>
      </w:r>
    </w:p>
    <w:p w14:paraId="5522217B" w14:textId="77777777" w:rsidR="00110D72" w:rsidRDefault="00110D72" w:rsidP="00110D72">
      <w:pPr>
        <w:jc w:val="both"/>
        <w:rPr>
          <w:rFonts w:ascii="Calibri" w:hAnsi="Calibri"/>
          <w:sz w:val="22"/>
          <w:szCs w:val="22"/>
        </w:rPr>
      </w:pPr>
    </w:p>
    <w:p w14:paraId="196B5975" w14:textId="77777777" w:rsidR="00110D72" w:rsidRPr="009F1801" w:rsidRDefault="00110D72" w:rsidP="00110D72">
      <w:pPr>
        <w:rPr>
          <w:rFonts w:ascii="Calibri" w:hAnsi="Calibri"/>
          <w:b/>
          <w:kern w:val="28"/>
          <w:sz w:val="22"/>
          <w:szCs w:val="22"/>
          <w:lang w:val="en-GB"/>
        </w:rPr>
      </w:pPr>
      <w:r w:rsidRPr="009F1801">
        <w:rPr>
          <w:rFonts w:ascii="Calibri" w:hAnsi="Calibri"/>
          <w:b/>
          <w:kern w:val="28"/>
          <w:sz w:val="22"/>
          <w:szCs w:val="22"/>
          <w:lang w:val="en-GB"/>
        </w:rPr>
        <w:t>A</w:t>
      </w:r>
      <w:r>
        <w:rPr>
          <w:rFonts w:ascii="Calibri" w:hAnsi="Calibri"/>
          <w:b/>
          <w:kern w:val="28"/>
          <w:sz w:val="22"/>
          <w:szCs w:val="22"/>
          <w:lang w:val="en-GB"/>
        </w:rPr>
        <w:t>RTICLE</w:t>
      </w:r>
      <w:r w:rsidRPr="009F1801">
        <w:rPr>
          <w:rFonts w:ascii="Calibri" w:hAnsi="Calibri"/>
          <w:b/>
          <w:kern w:val="28"/>
          <w:sz w:val="22"/>
          <w:szCs w:val="22"/>
          <w:lang w:val="en-GB"/>
        </w:rPr>
        <w:t xml:space="preserve"> </w:t>
      </w:r>
      <w:r>
        <w:rPr>
          <w:rFonts w:ascii="Calibri" w:hAnsi="Calibri"/>
          <w:b/>
          <w:kern w:val="28"/>
          <w:sz w:val="22"/>
          <w:szCs w:val="22"/>
          <w:lang w:val="en-GB"/>
        </w:rPr>
        <w:t>9</w:t>
      </w:r>
      <w:r w:rsidRPr="009F1801">
        <w:rPr>
          <w:rFonts w:ascii="Calibri" w:hAnsi="Calibri"/>
          <w:b/>
          <w:kern w:val="28"/>
          <w:sz w:val="22"/>
          <w:szCs w:val="22"/>
          <w:lang w:val="en-GB"/>
        </w:rPr>
        <w:t xml:space="preserve"> </w:t>
      </w:r>
      <w:r>
        <w:rPr>
          <w:rFonts w:ascii="Calibri" w:hAnsi="Calibri"/>
          <w:b/>
          <w:kern w:val="28"/>
          <w:sz w:val="22"/>
          <w:szCs w:val="22"/>
          <w:lang w:val="en-GB"/>
        </w:rPr>
        <w:t>–</w:t>
      </w:r>
      <w:r w:rsidRPr="009A52A5">
        <w:rPr>
          <w:rFonts w:eastAsia="Calibri"/>
        </w:rPr>
        <w:t xml:space="preserve"> </w:t>
      </w:r>
      <w:r w:rsidRPr="009F1801">
        <w:rPr>
          <w:rFonts w:ascii="Calibri" w:hAnsi="Calibri"/>
          <w:b/>
          <w:kern w:val="28"/>
          <w:sz w:val="22"/>
          <w:szCs w:val="22"/>
          <w:lang w:val="en-GB"/>
        </w:rPr>
        <w:t>PROCESSING</w:t>
      </w:r>
      <w:r>
        <w:rPr>
          <w:rFonts w:ascii="Calibri" w:hAnsi="Calibri"/>
          <w:b/>
          <w:kern w:val="28"/>
          <w:sz w:val="22"/>
          <w:szCs w:val="22"/>
          <w:lang w:val="en-GB"/>
        </w:rPr>
        <w:t xml:space="preserve"> OF PERSONAL DATA</w:t>
      </w:r>
    </w:p>
    <w:p w14:paraId="465394F3" w14:textId="77777777" w:rsidR="00110D72" w:rsidRDefault="00110D72" w:rsidP="00110D72">
      <w:pPr>
        <w:rPr>
          <w:rFonts w:eastAsia="Calibri"/>
        </w:rPr>
      </w:pPr>
    </w:p>
    <w:p w14:paraId="0F861801" w14:textId="77777777" w:rsidR="00110D72" w:rsidRDefault="00110D72" w:rsidP="00110D72">
      <w:pPr>
        <w:jc w:val="both"/>
        <w:rPr>
          <w:rFonts w:ascii="Calibri" w:eastAsia="Calibri" w:hAnsi="Calibri"/>
          <w:sz w:val="22"/>
          <w:szCs w:val="22"/>
          <w:lang w:val="en-GB"/>
        </w:rPr>
      </w:pPr>
      <w:r>
        <w:rPr>
          <w:rFonts w:ascii="Calibri" w:eastAsia="Calibri" w:hAnsi="Calibri"/>
          <w:sz w:val="22"/>
          <w:szCs w:val="22"/>
          <w:lang w:val="en-GB"/>
        </w:rPr>
        <w:t>9</w:t>
      </w:r>
      <w:r w:rsidRPr="009F1801">
        <w:rPr>
          <w:rFonts w:ascii="Calibri" w:eastAsia="Calibri" w:hAnsi="Calibri"/>
          <w:sz w:val="22"/>
          <w:szCs w:val="22"/>
          <w:lang w:val="en-GB"/>
        </w:rPr>
        <w:t xml:space="preserve">.1 </w:t>
      </w:r>
      <w:r w:rsidRPr="009F1801">
        <w:rPr>
          <w:rFonts w:ascii="Calibri" w:eastAsia="Calibri" w:hAnsi="Calibri"/>
          <w:sz w:val="22"/>
          <w:szCs w:val="22"/>
          <w:lang w:val="en-GB"/>
        </w:rPr>
        <w:tab/>
        <w:t>Pursuant to the Belgian law of 30 July 2018 on the protection of natural persons with regards</w:t>
      </w:r>
    </w:p>
    <w:p w14:paraId="26539D28" w14:textId="2E5A34EA" w:rsidR="00110D72" w:rsidRPr="002904BD" w:rsidRDefault="00110D72" w:rsidP="00110D72">
      <w:pPr>
        <w:ind w:left="708"/>
        <w:jc w:val="both"/>
        <w:rPr>
          <w:rFonts w:ascii="Calibri" w:eastAsia="Calibri" w:hAnsi="Calibri"/>
          <w:sz w:val="22"/>
          <w:szCs w:val="22"/>
          <w:lang w:val="en-GB"/>
        </w:rPr>
      </w:pPr>
      <w:r w:rsidRPr="009F1801">
        <w:rPr>
          <w:rFonts w:ascii="Calibri" w:eastAsia="Calibri" w:hAnsi="Calibri"/>
          <w:sz w:val="22"/>
          <w:szCs w:val="22"/>
          <w:lang w:val="en-GB"/>
        </w:rPr>
        <w:t>to the processing of personal data, information that may be required from the consultant in</w:t>
      </w:r>
      <w:r>
        <w:rPr>
          <w:rFonts w:ascii="Calibri" w:eastAsia="Calibri" w:hAnsi="Calibri"/>
          <w:sz w:val="22"/>
          <w:szCs w:val="22"/>
          <w:lang w:val="en-GB"/>
        </w:rPr>
        <w:t xml:space="preserve"> </w:t>
      </w:r>
      <w:r w:rsidRPr="009F1801">
        <w:rPr>
          <w:rFonts w:ascii="Calibri" w:eastAsia="Calibri" w:hAnsi="Calibri"/>
          <w:sz w:val="22"/>
          <w:szCs w:val="22"/>
          <w:lang w:val="en-GB"/>
        </w:rPr>
        <w:t xml:space="preserve">relation with the present Agreement are those needed in the frame of the service delivery. Such information will be used by A.I.S.E. for the sole requirement of the execution of this Agreement. It will be handled as per the A.I.S.E. privacy policy statement outlined in Appendix </w:t>
      </w:r>
      <w:r w:rsidR="004654F8">
        <w:rPr>
          <w:rFonts w:ascii="Calibri" w:eastAsia="Calibri" w:hAnsi="Calibri"/>
          <w:sz w:val="22"/>
          <w:szCs w:val="22"/>
          <w:lang w:val="en-GB"/>
        </w:rPr>
        <w:t>“A.I.S.E. Privacy Policy Statement”.</w:t>
      </w:r>
    </w:p>
    <w:p w14:paraId="12CD052F" w14:textId="77777777" w:rsidR="00110D72" w:rsidRPr="00110D72" w:rsidRDefault="00110D72" w:rsidP="00110D72">
      <w:pPr>
        <w:spacing w:after="200"/>
        <w:jc w:val="both"/>
        <w:rPr>
          <w:rFonts w:ascii="Calibri" w:eastAsia="Calibri" w:hAnsi="Calibri"/>
          <w:sz w:val="22"/>
          <w:szCs w:val="22"/>
        </w:rPr>
      </w:pPr>
    </w:p>
    <w:p w14:paraId="3AF23CF9" w14:textId="2DF0D43A"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 xml:space="preserve">Signed on </w:t>
      </w:r>
      <w:r w:rsidRPr="00110D72">
        <w:rPr>
          <w:rFonts w:ascii="Calibri" w:eastAsia="Calibri" w:hAnsi="Calibri"/>
          <w:b/>
          <w:sz w:val="22"/>
          <w:szCs w:val="22"/>
          <w:highlight w:val="yellow"/>
        </w:rPr>
        <w:t>…………………………………</w:t>
      </w:r>
      <w:r w:rsidRPr="00110D72">
        <w:rPr>
          <w:rFonts w:ascii="Calibri" w:eastAsia="Calibri" w:hAnsi="Calibri"/>
          <w:b/>
          <w:sz w:val="22"/>
          <w:szCs w:val="22"/>
        </w:rPr>
        <w:t xml:space="preserve">.202.... in Brussels and in </w:t>
      </w:r>
      <w:r w:rsidRPr="00110D72">
        <w:rPr>
          <w:rFonts w:ascii="Calibri" w:eastAsia="Calibri" w:hAnsi="Calibri"/>
          <w:b/>
          <w:sz w:val="22"/>
          <w:szCs w:val="22"/>
          <w:highlight w:val="yellow"/>
        </w:rPr>
        <w:t>………………………………………………………</w:t>
      </w:r>
      <w:r w:rsidRPr="00110D72">
        <w:rPr>
          <w:rFonts w:ascii="Calibri" w:eastAsia="Calibri" w:hAnsi="Calibri"/>
          <w:b/>
          <w:sz w:val="22"/>
          <w:szCs w:val="22"/>
        </w:rPr>
        <w:t xml:space="preserve">. in two (2) originals, each “Party” having received its original. </w:t>
      </w:r>
    </w:p>
    <w:p w14:paraId="4E9ACF58" w14:textId="4328AA7C"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Signed for and on behalf of “A.I.S.E.”</w:t>
      </w:r>
      <w:r w:rsidRPr="00110D72">
        <w:rPr>
          <w:rFonts w:ascii="Calibri" w:eastAsia="Calibri" w:hAnsi="Calibri"/>
          <w:b/>
          <w:sz w:val="22"/>
          <w:szCs w:val="22"/>
        </w:rPr>
        <w:tab/>
      </w:r>
      <w:r w:rsidRPr="00110D72">
        <w:rPr>
          <w:rFonts w:ascii="Calibri" w:eastAsia="Calibri" w:hAnsi="Calibri"/>
          <w:b/>
          <w:sz w:val="22"/>
          <w:szCs w:val="22"/>
        </w:rPr>
        <w:tab/>
      </w:r>
      <w:r w:rsidRPr="00110D72">
        <w:rPr>
          <w:rFonts w:ascii="Calibri" w:eastAsia="Calibri" w:hAnsi="Calibri"/>
          <w:b/>
          <w:sz w:val="22"/>
          <w:szCs w:val="22"/>
        </w:rPr>
        <w:tab/>
        <w:t>Signed for and on behalf of the “</w:t>
      </w:r>
      <w:proofErr w:type="gramStart"/>
      <w:r w:rsidRPr="00110D72">
        <w:rPr>
          <w:rFonts w:ascii="Calibri" w:eastAsia="Calibri" w:hAnsi="Calibri"/>
          <w:b/>
          <w:sz w:val="22"/>
          <w:szCs w:val="22"/>
        </w:rPr>
        <w:t>Company</w:t>
      </w:r>
      <w:proofErr w:type="gramEnd"/>
      <w:r w:rsidRPr="00110D72">
        <w:rPr>
          <w:rFonts w:ascii="Calibri" w:eastAsia="Calibri" w:hAnsi="Calibri"/>
          <w:b/>
          <w:sz w:val="22"/>
          <w:szCs w:val="22"/>
        </w:rPr>
        <w:t xml:space="preserve">”  </w:t>
      </w:r>
    </w:p>
    <w:p w14:paraId="33B404CA" w14:textId="707FDD24" w:rsidR="00D5334F" w:rsidRDefault="00D5334F" w:rsidP="00110D72">
      <w:pPr>
        <w:spacing w:after="200"/>
        <w:jc w:val="both"/>
        <w:rPr>
          <w:rFonts w:ascii="Calibri" w:eastAsia="Calibri" w:hAnsi="Calibri"/>
          <w:sz w:val="22"/>
          <w:szCs w:val="22"/>
        </w:rPr>
      </w:pPr>
      <w:r w:rsidRPr="00FD601E">
        <w:rPr>
          <w:rFonts w:ascii="Calibri" w:eastAsia="Calibri" w:hAnsi="Calibri"/>
          <w:sz w:val="22"/>
          <w:szCs w:val="22"/>
          <w:highlight w:val="yellow"/>
        </w:rPr>
        <w:t>………………………………………………</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sidRPr="00FD601E">
        <w:rPr>
          <w:rFonts w:ascii="Calibri" w:eastAsia="Calibri" w:hAnsi="Calibri"/>
          <w:sz w:val="22"/>
          <w:szCs w:val="22"/>
          <w:highlight w:val="yellow"/>
        </w:rPr>
        <w:t>…………………………………………………………….</w:t>
      </w:r>
    </w:p>
    <w:p w14:paraId="210ED191" w14:textId="41063F2C" w:rsidR="00110D72" w:rsidRPr="00110D72" w:rsidRDefault="00DE4289" w:rsidP="00110D72">
      <w:pPr>
        <w:spacing w:after="200"/>
        <w:jc w:val="both"/>
        <w:rPr>
          <w:rFonts w:ascii="Calibri" w:eastAsia="Calibri" w:hAnsi="Calibri"/>
          <w:sz w:val="22"/>
          <w:szCs w:val="22"/>
        </w:rPr>
      </w:pPr>
      <w:r>
        <w:rPr>
          <w:rFonts w:ascii="Calibri" w:eastAsia="Calibri" w:hAnsi="Calibri"/>
          <w:sz w:val="22"/>
          <w:szCs w:val="22"/>
        </w:rPr>
        <w:t>Alexis Van Maercke</w:t>
      </w:r>
      <w:r w:rsidR="00110D72" w:rsidRPr="00110D72">
        <w:rPr>
          <w:rFonts w:ascii="Calibri" w:eastAsia="Calibri" w:hAnsi="Calibri"/>
          <w:sz w:val="22"/>
          <w:szCs w:val="22"/>
        </w:rPr>
        <w:tab/>
      </w:r>
      <w:r w:rsidR="00110D72" w:rsidRPr="00110D72">
        <w:rPr>
          <w:rFonts w:ascii="Calibri" w:eastAsia="Calibri" w:hAnsi="Calibri"/>
          <w:sz w:val="22"/>
          <w:szCs w:val="22"/>
        </w:rPr>
        <w:tab/>
      </w:r>
      <w:r w:rsidR="00110D72" w:rsidRPr="00110D72">
        <w:rPr>
          <w:rFonts w:ascii="Calibri" w:eastAsia="Calibri" w:hAnsi="Calibri"/>
          <w:sz w:val="22"/>
          <w:szCs w:val="22"/>
        </w:rPr>
        <w:tab/>
      </w:r>
      <w:r w:rsidR="00110D72" w:rsidRPr="00110D72">
        <w:rPr>
          <w:rFonts w:ascii="Calibri" w:eastAsia="Calibri" w:hAnsi="Calibri"/>
          <w:sz w:val="22"/>
          <w:szCs w:val="22"/>
        </w:rPr>
        <w:tab/>
      </w:r>
      <w:r w:rsidR="00110D72" w:rsidRPr="00110D72">
        <w:rPr>
          <w:rFonts w:ascii="Calibri" w:eastAsia="Calibri" w:hAnsi="Calibri"/>
          <w:sz w:val="22"/>
          <w:szCs w:val="22"/>
        </w:rPr>
        <w:tab/>
        <w:t xml:space="preserve">Name </w:t>
      </w:r>
      <w:r w:rsidR="00D5334F">
        <w:rPr>
          <w:rFonts w:ascii="Calibri" w:eastAsia="Calibri" w:hAnsi="Calibri"/>
          <w:sz w:val="22"/>
          <w:szCs w:val="22"/>
        </w:rPr>
        <w:br/>
      </w:r>
      <w:r w:rsidR="00110D72" w:rsidRPr="00110D72">
        <w:rPr>
          <w:rFonts w:ascii="Calibri" w:eastAsia="Calibri" w:hAnsi="Calibri"/>
          <w:sz w:val="22"/>
          <w:szCs w:val="22"/>
        </w:rPr>
        <w:t>Director General</w:t>
      </w:r>
      <w:r w:rsidR="00110D72" w:rsidRPr="00110D72">
        <w:rPr>
          <w:rFonts w:ascii="Calibri" w:eastAsia="Calibri" w:hAnsi="Calibri"/>
          <w:sz w:val="22"/>
          <w:szCs w:val="22"/>
        </w:rPr>
        <w:tab/>
      </w:r>
      <w:r w:rsidR="00110D72" w:rsidRPr="00110D72">
        <w:rPr>
          <w:rFonts w:ascii="Calibri" w:eastAsia="Calibri" w:hAnsi="Calibri"/>
          <w:sz w:val="22"/>
          <w:szCs w:val="22"/>
        </w:rPr>
        <w:tab/>
      </w:r>
      <w:r w:rsidR="00110D72" w:rsidRPr="00110D72">
        <w:rPr>
          <w:rFonts w:ascii="Calibri" w:eastAsia="Calibri" w:hAnsi="Calibri"/>
          <w:sz w:val="22"/>
          <w:szCs w:val="22"/>
        </w:rPr>
        <w:tab/>
      </w:r>
      <w:r w:rsidR="00110D72" w:rsidRPr="00110D72">
        <w:rPr>
          <w:rFonts w:ascii="Calibri" w:eastAsia="Calibri" w:hAnsi="Calibri"/>
          <w:sz w:val="22"/>
          <w:szCs w:val="22"/>
        </w:rPr>
        <w:tab/>
      </w:r>
      <w:r w:rsidR="00110D72" w:rsidRPr="00110D72">
        <w:rPr>
          <w:rFonts w:ascii="Calibri" w:eastAsia="Calibri" w:hAnsi="Calibri"/>
          <w:sz w:val="22"/>
          <w:szCs w:val="22"/>
        </w:rPr>
        <w:tab/>
        <w:t>Function</w:t>
      </w:r>
    </w:p>
    <w:p w14:paraId="48F0C03F" w14:textId="0999E7C3" w:rsidR="00110D72" w:rsidRPr="00110D72" w:rsidRDefault="00110D72" w:rsidP="00110D72">
      <w:pPr>
        <w:spacing w:after="200"/>
        <w:jc w:val="both"/>
        <w:rPr>
          <w:rFonts w:ascii="Calibri" w:eastAsia="Calibri" w:hAnsi="Calibri"/>
          <w:b/>
          <w:sz w:val="22"/>
          <w:szCs w:val="22"/>
        </w:rPr>
      </w:pPr>
      <w:r w:rsidRPr="00110D72">
        <w:rPr>
          <w:rFonts w:ascii="Calibri" w:eastAsia="Calibri" w:hAnsi="Calibri"/>
          <w:b/>
          <w:sz w:val="22"/>
          <w:szCs w:val="22"/>
        </w:rPr>
        <w:t>Signed by the «Expert»</w:t>
      </w:r>
    </w:p>
    <w:p w14:paraId="0509E77A" w14:textId="705CE746" w:rsidR="00110D72" w:rsidRPr="00110D72" w:rsidRDefault="00110D72" w:rsidP="00110D72">
      <w:pPr>
        <w:spacing w:after="200"/>
        <w:jc w:val="both"/>
        <w:rPr>
          <w:rFonts w:ascii="Calibri" w:eastAsia="Calibri" w:hAnsi="Calibri"/>
          <w:sz w:val="22"/>
          <w:szCs w:val="22"/>
        </w:rPr>
      </w:pPr>
      <w:r w:rsidRPr="00110D72">
        <w:rPr>
          <w:rFonts w:ascii="Calibri" w:eastAsia="Calibri" w:hAnsi="Calibri"/>
          <w:sz w:val="22"/>
          <w:szCs w:val="22"/>
          <w:highlight w:val="yellow"/>
        </w:rPr>
        <w:t>………………………………………….</w:t>
      </w:r>
      <w:r w:rsidR="00FD601E">
        <w:rPr>
          <w:rFonts w:ascii="Calibri" w:eastAsia="Calibri" w:hAnsi="Calibri"/>
          <w:sz w:val="22"/>
          <w:szCs w:val="22"/>
        </w:rPr>
        <w:br/>
      </w:r>
      <w:r w:rsidRPr="00110D72">
        <w:rPr>
          <w:rFonts w:ascii="Calibri" w:eastAsia="Calibri" w:hAnsi="Calibri"/>
          <w:sz w:val="22"/>
          <w:szCs w:val="22"/>
        </w:rPr>
        <w:t>Nam</w:t>
      </w:r>
      <w:r w:rsidR="00D5334F">
        <w:rPr>
          <w:rFonts w:ascii="Calibri" w:eastAsia="Calibri" w:hAnsi="Calibri"/>
          <w:sz w:val="22"/>
          <w:szCs w:val="22"/>
        </w:rPr>
        <w:t>e</w:t>
      </w:r>
      <w:r w:rsidR="00D5334F">
        <w:rPr>
          <w:rFonts w:ascii="Calibri" w:eastAsia="Calibri" w:hAnsi="Calibri"/>
          <w:sz w:val="22"/>
          <w:szCs w:val="22"/>
        </w:rPr>
        <w:br/>
      </w:r>
      <w:r w:rsidRPr="00110D72">
        <w:rPr>
          <w:rFonts w:ascii="Calibri" w:eastAsia="Calibri" w:hAnsi="Calibri"/>
          <w:sz w:val="22"/>
          <w:szCs w:val="22"/>
        </w:rPr>
        <w:t>function</w:t>
      </w:r>
      <w:r w:rsidRPr="00110D72">
        <w:rPr>
          <w:rFonts w:ascii="Calibri" w:eastAsia="Calibri" w:hAnsi="Calibri"/>
          <w:sz w:val="22"/>
          <w:szCs w:val="22"/>
        </w:rPr>
        <w:tab/>
      </w:r>
      <w:r w:rsidRPr="00110D72">
        <w:rPr>
          <w:rFonts w:ascii="Calibri" w:eastAsia="Calibri" w:hAnsi="Calibri"/>
          <w:sz w:val="22"/>
          <w:szCs w:val="22"/>
        </w:rPr>
        <w:tab/>
      </w:r>
      <w:r w:rsidRPr="00110D72">
        <w:rPr>
          <w:rFonts w:ascii="Calibri" w:eastAsia="Calibri" w:hAnsi="Calibri"/>
          <w:sz w:val="22"/>
          <w:szCs w:val="22"/>
        </w:rPr>
        <w:tab/>
      </w:r>
    </w:p>
    <w:p w14:paraId="0C7C4F61" w14:textId="151FFF8E" w:rsidR="00207F1D" w:rsidRPr="00207F1D" w:rsidRDefault="00110D72" w:rsidP="004654F8">
      <w:pPr>
        <w:spacing w:after="200" w:line="276" w:lineRule="auto"/>
        <w:rPr>
          <w:rFonts w:ascii="Calibri" w:eastAsia="Calibri" w:hAnsi="Calibri"/>
          <w:b/>
          <w:sz w:val="22"/>
          <w:szCs w:val="22"/>
        </w:rPr>
      </w:pPr>
      <w:r w:rsidRPr="00110D72">
        <w:rPr>
          <w:rFonts w:ascii="Calibri" w:eastAsia="Calibri" w:hAnsi="Calibri"/>
          <w:b/>
          <w:sz w:val="22"/>
          <w:szCs w:val="22"/>
        </w:rPr>
        <w:br w:type="page"/>
      </w:r>
    </w:p>
    <w:p w14:paraId="6245DC4D" w14:textId="55ACCCBF" w:rsidR="00207F1D" w:rsidRDefault="00207F1D" w:rsidP="00207F1D">
      <w:pPr>
        <w:jc w:val="center"/>
        <w:rPr>
          <w:rFonts w:ascii="Calibri" w:eastAsia="Calibri" w:hAnsi="Calibri"/>
          <w:b/>
        </w:rPr>
      </w:pPr>
      <w:r w:rsidRPr="002904BD">
        <w:rPr>
          <w:rFonts w:ascii="Calibri" w:eastAsia="Calibri" w:hAnsi="Calibri"/>
          <w:b/>
        </w:rPr>
        <w:lastRenderedPageBreak/>
        <w:t xml:space="preserve">APPENDIX </w:t>
      </w:r>
    </w:p>
    <w:p w14:paraId="2D215090" w14:textId="77777777" w:rsidR="00207F1D" w:rsidRDefault="00207F1D" w:rsidP="00207F1D"/>
    <w:p w14:paraId="721C6EF0" w14:textId="77777777" w:rsidR="00207F1D" w:rsidRDefault="00207F1D" w:rsidP="00207F1D">
      <w:pPr>
        <w:jc w:val="center"/>
        <w:rPr>
          <w:rFonts w:ascii="Calibri" w:eastAsia="Calibri" w:hAnsi="Calibri"/>
          <w:b/>
        </w:rPr>
      </w:pPr>
      <w:r w:rsidRPr="002904BD">
        <w:rPr>
          <w:rFonts w:ascii="Calibri" w:eastAsia="Calibri" w:hAnsi="Calibri"/>
          <w:b/>
        </w:rPr>
        <w:t>A.I.S.E. PRIVACY POLICY STATEMENT</w:t>
      </w:r>
    </w:p>
    <w:p w14:paraId="47D8EA18" w14:textId="77777777" w:rsidR="00207F1D" w:rsidRDefault="00207F1D" w:rsidP="00207F1D">
      <w:pPr>
        <w:jc w:val="center"/>
        <w:rPr>
          <w:rFonts w:ascii="Calibri" w:eastAsia="Calibri" w:hAnsi="Calibri"/>
          <w:b/>
        </w:rPr>
      </w:pPr>
    </w:p>
    <w:p w14:paraId="67996CC3" w14:textId="77777777" w:rsidR="00207F1D" w:rsidRPr="002904BD" w:rsidRDefault="00207F1D" w:rsidP="00207F1D">
      <w:pPr>
        <w:jc w:val="center"/>
        <w:rPr>
          <w:rFonts w:ascii="Calibri" w:eastAsia="Calibri" w:hAnsi="Calibri"/>
          <w:b/>
        </w:rPr>
      </w:pPr>
    </w:p>
    <w:p w14:paraId="03EE7113" w14:textId="77777777" w:rsidR="00207F1D" w:rsidRDefault="00207F1D" w:rsidP="00207F1D">
      <w:pPr>
        <w:jc w:val="both"/>
        <w:rPr>
          <w:rFonts w:ascii="Calibri" w:eastAsia="Calibri" w:hAnsi="Calibri"/>
          <w:b/>
        </w:rPr>
      </w:pPr>
      <w:r w:rsidRPr="002904BD">
        <w:rPr>
          <w:rFonts w:ascii="Calibri" w:eastAsia="Calibri" w:hAnsi="Calibri"/>
          <w:b/>
        </w:rPr>
        <w:t xml:space="preserve">Provision to inform </w:t>
      </w:r>
      <w:r>
        <w:rPr>
          <w:rFonts w:ascii="Calibri" w:eastAsia="Calibri" w:hAnsi="Calibri"/>
          <w:b/>
        </w:rPr>
        <w:t>subscribers/experts</w:t>
      </w:r>
      <w:r w:rsidRPr="002904BD">
        <w:rPr>
          <w:rFonts w:ascii="Calibri" w:eastAsia="Calibri" w:hAnsi="Calibri"/>
          <w:b/>
        </w:rPr>
        <w:t xml:space="preserve"> about the processing of their personal data.</w:t>
      </w:r>
    </w:p>
    <w:p w14:paraId="6D749F85" w14:textId="77777777" w:rsidR="00207F1D" w:rsidRPr="002904BD" w:rsidRDefault="00207F1D" w:rsidP="00207F1D">
      <w:pPr>
        <w:jc w:val="both"/>
        <w:rPr>
          <w:rFonts w:ascii="Calibri" w:eastAsia="Calibri" w:hAnsi="Calibri"/>
          <w:b/>
        </w:rPr>
      </w:pPr>
    </w:p>
    <w:p w14:paraId="2E18A54F" w14:textId="77777777" w:rsidR="00207F1D" w:rsidRPr="002904BD" w:rsidRDefault="00207F1D" w:rsidP="00207F1D">
      <w:pPr>
        <w:jc w:val="both"/>
        <w:rPr>
          <w:rFonts w:ascii="Calibri" w:hAnsi="Calibri"/>
          <w:sz w:val="22"/>
          <w:szCs w:val="22"/>
        </w:rPr>
      </w:pPr>
      <w:r w:rsidRPr="002904BD">
        <w:rPr>
          <w:rFonts w:ascii="Calibri" w:hAnsi="Calibri"/>
          <w:sz w:val="22"/>
          <w:szCs w:val="22"/>
        </w:rPr>
        <w:t xml:space="preserve">A.I.S.E. is committed to </w:t>
      </w:r>
      <w:proofErr w:type="gramStart"/>
      <w:r w:rsidRPr="002904BD">
        <w:rPr>
          <w:rFonts w:ascii="Calibri" w:hAnsi="Calibri"/>
          <w:sz w:val="22"/>
          <w:szCs w:val="22"/>
        </w:rPr>
        <w:t>handle</w:t>
      </w:r>
      <w:proofErr w:type="gramEnd"/>
      <w:r w:rsidRPr="002904BD">
        <w:rPr>
          <w:rFonts w:ascii="Calibri" w:hAnsi="Calibri"/>
          <w:sz w:val="22"/>
          <w:szCs w:val="22"/>
        </w:rPr>
        <w:t xml:space="preserve"> and protect the personal data it collects in compliance with</w:t>
      </w:r>
      <w:r>
        <w:rPr>
          <w:rFonts w:ascii="Calibri" w:hAnsi="Calibri"/>
          <w:sz w:val="22"/>
          <w:szCs w:val="22"/>
        </w:rPr>
        <w:t xml:space="preserve"> </w:t>
      </w:r>
      <w:r w:rsidRPr="002904BD">
        <w:rPr>
          <w:rFonts w:ascii="Calibri" w:hAnsi="Calibri"/>
          <w:sz w:val="22"/>
          <w:szCs w:val="22"/>
        </w:rPr>
        <w:t>applicable</w:t>
      </w:r>
      <w:r>
        <w:rPr>
          <w:rFonts w:ascii="Calibri" w:hAnsi="Calibri"/>
          <w:sz w:val="22"/>
          <w:szCs w:val="22"/>
        </w:rPr>
        <w:t xml:space="preserve"> </w:t>
      </w:r>
      <w:r w:rsidRPr="002904BD">
        <w:rPr>
          <w:rFonts w:ascii="Calibri" w:hAnsi="Calibri"/>
          <w:sz w:val="22"/>
          <w:szCs w:val="22"/>
        </w:rPr>
        <w:t>data protection laws, including the General Data Protection Regulation (“GDPR”).</w:t>
      </w:r>
    </w:p>
    <w:p w14:paraId="028A8213" w14:textId="77777777" w:rsidR="00207F1D" w:rsidRPr="002904BD" w:rsidRDefault="00207F1D" w:rsidP="00207F1D">
      <w:pPr>
        <w:jc w:val="both"/>
        <w:rPr>
          <w:rFonts w:ascii="Calibri" w:hAnsi="Calibri"/>
          <w:sz w:val="22"/>
          <w:szCs w:val="22"/>
        </w:rPr>
      </w:pPr>
    </w:p>
    <w:p w14:paraId="16ACB320" w14:textId="77777777" w:rsidR="00207F1D" w:rsidRDefault="00207F1D" w:rsidP="00207F1D">
      <w:pPr>
        <w:jc w:val="both"/>
        <w:rPr>
          <w:rFonts w:ascii="Calibri" w:hAnsi="Calibri"/>
          <w:sz w:val="22"/>
          <w:szCs w:val="22"/>
        </w:rPr>
      </w:pPr>
      <w:r w:rsidRPr="002904BD">
        <w:rPr>
          <w:rFonts w:ascii="Calibri" w:hAnsi="Calibri"/>
          <w:sz w:val="22"/>
          <w:szCs w:val="22"/>
        </w:rPr>
        <w:t xml:space="preserve">A.I.S.E. may process the following personal data concerning the </w:t>
      </w:r>
      <w:r>
        <w:rPr>
          <w:rFonts w:ascii="Calibri" w:hAnsi="Calibri"/>
          <w:sz w:val="22"/>
          <w:szCs w:val="22"/>
        </w:rPr>
        <w:t xml:space="preserve">Subscriber or Expert </w:t>
      </w:r>
      <w:r w:rsidRPr="002904BD">
        <w:rPr>
          <w:rFonts w:ascii="Calibri" w:hAnsi="Calibri"/>
          <w:sz w:val="22"/>
          <w:szCs w:val="22"/>
        </w:rPr>
        <w:t xml:space="preserve">(hereafter “the </w:t>
      </w:r>
      <w:r>
        <w:rPr>
          <w:rFonts w:ascii="Calibri" w:hAnsi="Calibri"/>
          <w:sz w:val="22"/>
          <w:szCs w:val="22"/>
        </w:rPr>
        <w:t>User</w:t>
      </w:r>
      <w:r w:rsidRPr="002904BD">
        <w:rPr>
          <w:rFonts w:ascii="Calibri" w:hAnsi="Calibri"/>
          <w:sz w:val="22"/>
          <w:szCs w:val="22"/>
        </w:rPr>
        <w:t xml:space="preserve">”) or the contact person(s) within the </w:t>
      </w:r>
      <w:r>
        <w:rPr>
          <w:rFonts w:ascii="Calibri" w:hAnsi="Calibri"/>
          <w:sz w:val="22"/>
          <w:szCs w:val="22"/>
        </w:rPr>
        <w:t>Subscriber or Expert</w:t>
      </w:r>
      <w:r w:rsidRPr="002904BD">
        <w:rPr>
          <w:rFonts w:ascii="Calibri" w:hAnsi="Calibri"/>
          <w:sz w:val="22"/>
          <w:szCs w:val="22"/>
        </w:rPr>
        <w:t xml:space="preserve"> </w:t>
      </w:r>
      <w:r>
        <w:rPr>
          <w:rFonts w:ascii="Calibri" w:hAnsi="Calibri"/>
          <w:sz w:val="22"/>
          <w:szCs w:val="22"/>
        </w:rPr>
        <w:t xml:space="preserve">Legal Person </w:t>
      </w:r>
      <w:r w:rsidRPr="002904BD">
        <w:rPr>
          <w:rFonts w:ascii="Calibri" w:hAnsi="Calibri"/>
          <w:sz w:val="22"/>
          <w:szCs w:val="22"/>
        </w:rPr>
        <w:t>(hereafter “the Contact</w:t>
      </w:r>
      <w:r>
        <w:rPr>
          <w:rFonts w:ascii="Calibri" w:hAnsi="Calibri"/>
          <w:sz w:val="22"/>
          <w:szCs w:val="22"/>
        </w:rPr>
        <w:t xml:space="preserve"> </w:t>
      </w:r>
      <w:r w:rsidRPr="002904BD">
        <w:rPr>
          <w:rFonts w:ascii="Calibri" w:hAnsi="Calibri"/>
          <w:sz w:val="22"/>
          <w:szCs w:val="22"/>
        </w:rPr>
        <w:t>Person”): identification data (e.g., first name, name, national identity</w:t>
      </w:r>
      <w:r>
        <w:rPr>
          <w:rFonts w:ascii="Calibri" w:hAnsi="Calibri"/>
          <w:sz w:val="22"/>
          <w:szCs w:val="22"/>
        </w:rPr>
        <w:t xml:space="preserve"> </w:t>
      </w:r>
      <w:r w:rsidRPr="002904BD">
        <w:rPr>
          <w:rFonts w:ascii="Calibri" w:hAnsi="Calibri"/>
          <w:sz w:val="22"/>
          <w:szCs w:val="22"/>
        </w:rPr>
        <w:t>number), contact data (e.g.,</w:t>
      </w:r>
      <w:r>
        <w:rPr>
          <w:rFonts w:ascii="Calibri" w:hAnsi="Calibri"/>
          <w:sz w:val="22"/>
          <w:szCs w:val="22"/>
        </w:rPr>
        <w:t xml:space="preserve"> </w:t>
      </w:r>
      <w:r w:rsidRPr="002904BD">
        <w:rPr>
          <w:rFonts w:ascii="Calibri" w:hAnsi="Calibri"/>
          <w:sz w:val="22"/>
          <w:szCs w:val="22"/>
        </w:rPr>
        <w:t>email address, telephone number, postal address), personal</w:t>
      </w:r>
      <w:r>
        <w:rPr>
          <w:rFonts w:ascii="Calibri" w:hAnsi="Calibri"/>
          <w:sz w:val="22"/>
          <w:szCs w:val="22"/>
        </w:rPr>
        <w:t xml:space="preserve"> </w:t>
      </w:r>
      <w:r w:rsidRPr="002904BD">
        <w:rPr>
          <w:rFonts w:ascii="Calibri" w:hAnsi="Calibri"/>
          <w:sz w:val="22"/>
          <w:szCs w:val="22"/>
        </w:rPr>
        <w:t>information (e.g., date of birth, citizenship) and/or financial data (e.g., bank account details).</w:t>
      </w:r>
    </w:p>
    <w:p w14:paraId="7A608A25" w14:textId="77777777" w:rsidR="00207F1D" w:rsidRPr="002904BD" w:rsidRDefault="00207F1D" w:rsidP="00207F1D">
      <w:pPr>
        <w:jc w:val="both"/>
        <w:rPr>
          <w:rFonts w:ascii="Calibri" w:hAnsi="Calibri"/>
          <w:sz w:val="22"/>
          <w:szCs w:val="22"/>
        </w:rPr>
      </w:pPr>
    </w:p>
    <w:p w14:paraId="64A0B522" w14:textId="77777777" w:rsidR="00207F1D" w:rsidRDefault="00207F1D" w:rsidP="00207F1D">
      <w:pPr>
        <w:jc w:val="both"/>
        <w:rPr>
          <w:rFonts w:ascii="Calibri" w:hAnsi="Calibri"/>
          <w:sz w:val="22"/>
          <w:szCs w:val="22"/>
        </w:rPr>
      </w:pPr>
      <w:r w:rsidRPr="002904BD">
        <w:rPr>
          <w:rFonts w:ascii="Calibri" w:hAnsi="Calibri"/>
          <w:sz w:val="22"/>
          <w:szCs w:val="22"/>
        </w:rPr>
        <w:t xml:space="preserve">A.I.S.E. only processes these data for the purposes of managing, administering, </w:t>
      </w:r>
      <w:proofErr w:type="gramStart"/>
      <w:r w:rsidRPr="002904BD">
        <w:rPr>
          <w:rFonts w:ascii="Calibri" w:hAnsi="Calibri"/>
          <w:sz w:val="22"/>
          <w:szCs w:val="22"/>
        </w:rPr>
        <w:t>monitoring</w:t>
      </w:r>
      <w:proofErr w:type="gramEnd"/>
      <w:r w:rsidRPr="002904BD">
        <w:rPr>
          <w:rFonts w:ascii="Calibri" w:hAnsi="Calibri"/>
          <w:sz w:val="22"/>
          <w:szCs w:val="22"/>
        </w:rPr>
        <w:t xml:space="preserve"> and</w:t>
      </w:r>
      <w:r>
        <w:rPr>
          <w:rFonts w:ascii="Calibri" w:hAnsi="Calibri"/>
          <w:sz w:val="22"/>
          <w:szCs w:val="22"/>
        </w:rPr>
        <w:t xml:space="preserve"> </w:t>
      </w:r>
      <w:r w:rsidRPr="002904BD">
        <w:rPr>
          <w:rFonts w:ascii="Calibri" w:hAnsi="Calibri"/>
          <w:sz w:val="22"/>
          <w:szCs w:val="22"/>
        </w:rPr>
        <w:t>supervising the carrying on of the agreed services as well as for management of the agreed</w:t>
      </w:r>
      <w:r>
        <w:rPr>
          <w:rFonts w:ascii="Calibri" w:hAnsi="Calibri"/>
          <w:sz w:val="22"/>
          <w:szCs w:val="22"/>
        </w:rPr>
        <w:t xml:space="preserve"> </w:t>
      </w:r>
      <w:r w:rsidRPr="002904BD">
        <w:rPr>
          <w:rFonts w:ascii="Calibri" w:hAnsi="Calibri"/>
          <w:sz w:val="22"/>
          <w:szCs w:val="22"/>
        </w:rPr>
        <w:t>fees.</w:t>
      </w:r>
    </w:p>
    <w:p w14:paraId="0451D7C2" w14:textId="77777777" w:rsidR="00207F1D" w:rsidRPr="002904BD" w:rsidRDefault="00207F1D" w:rsidP="00207F1D">
      <w:pPr>
        <w:jc w:val="both"/>
        <w:rPr>
          <w:rFonts w:ascii="Calibri" w:hAnsi="Calibri"/>
          <w:sz w:val="22"/>
          <w:szCs w:val="22"/>
        </w:rPr>
      </w:pPr>
    </w:p>
    <w:p w14:paraId="52CEF15C" w14:textId="77777777" w:rsidR="00207F1D" w:rsidRDefault="00207F1D" w:rsidP="00207F1D">
      <w:pPr>
        <w:jc w:val="both"/>
        <w:rPr>
          <w:rFonts w:ascii="Calibri" w:hAnsi="Calibri"/>
          <w:sz w:val="22"/>
          <w:szCs w:val="22"/>
        </w:rPr>
      </w:pPr>
      <w:r w:rsidRPr="002904BD">
        <w:rPr>
          <w:rFonts w:ascii="Calibri" w:hAnsi="Calibri"/>
          <w:sz w:val="22"/>
          <w:szCs w:val="22"/>
        </w:rPr>
        <w:t xml:space="preserve">Such processing is based on the agreement between A.I.S.E. and the </w:t>
      </w:r>
      <w:r>
        <w:rPr>
          <w:rFonts w:ascii="Calibri" w:hAnsi="Calibri"/>
          <w:sz w:val="22"/>
          <w:szCs w:val="22"/>
        </w:rPr>
        <w:t>User</w:t>
      </w:r>
      <w:r w:rsidRPr="002904BD">
        <w:rPr>
          <w:rFonts w:ascii="Calibri" w:hAnsi="Calibri"/>
          <w:sz w:val="22"/>
          <w:szCs w:val="22"/>
        </w:rPr>
        <w:t>, is legally</w:t>
      </w:r>
      <w:r>
        <w:rPr>
          <w:rFonts w:ascii="Calibri" w:hAnsi="Calibri"/>
          <w:sz w:val="22"/>
          <w:szCs w:val="22"/>
        </w:rPr>
        <w:t xml:space="preserve"> </w:t>
      </w:r>
      <w:r w:rsidRPr="002904BD">
        <w:rPr>
          <w:rFonts w:ascii="Calibri" w:hAnsi="Calibri"/>
          <w:sz w:val="22"/>
          <w:szCs w:val="22"/>
        </w:rPr>
        <w:t>required</w:t>
      </w:r>
      <w:r>
        <w:rPr>
          <w:rFonts w:ascii="Calibri" w:hAnsi="Calibri"/>
          <w:sz w:val="22"/>
          <w:szCs w:val="22"/>
        </w:rPr>
        <w:t xml:space="preserve"> </w:t>
      </w:r>
      <w:r w:rsidRPr="002904BD">
        <w:rPr>
          <w:rFonts w:ascii="Calibri" w:hAnsi="Calibri"/>
          <w:sz w:val="22"/>
          <w:szCs w:val="22"/>
        </w:rPr>
        <w:t>(e.g., under finance law) to manage the invoices or is necessary for A.I.S.E.’s proper</w:t>
      </w:r>
      <w:r>
        <w:rPr>
          <w:rFonts w:ascii="Calibri" w:hAnsi="Calibri"/>
          <w:sz w:val="22"/>
          <w:szCs w:val="22"/>
        </w:rPr>
        <w:t xml:space="preserve"> </w:t>
      </w:r>
      <w:r w:rsidRPr="002904BD">
        <w:rPr>
          <w:rFonts w:ascii="Calibri" w:hAnsi="Calibri"/>
          <w:sz w:val="22"/>
          <w:szCs w:val="22"/>
        </w:rPr>
        <w:t>functioning (its</w:t>
      </w:r>
      <w:r>
        <w:rPr>
          <w:rFonts w:ascii="Calibri" w:hAnsi="Calibri"/>
          <w:sz w:val="22"/>
          <w:szCs w:val="22"/>
        </w:rPr>
        <w:t xml:space="preserve"> </w:t>
      </w:r>
      <w:r w:rsidRPr="002904BD">
        <w:rPr>
          <w:rFonts w:ascii="Calibri" w:hAnsi="Calibri"/>
          <w:sz w:val="22"/>
          <w:szCs w:val="22"/>
        </w:rPr>
        <w:t>legitimate interest to conduct a business) as for the processing of the Contact</w:t>
      </w:r>
      <w:r>
        <w:rPr>
          <w:rFonts w:ascii="Calibri" w:hAnsi="Calibri"/>
          <w:sz w:val="22"/>
          <w:szCs w:val="22"/>
        </w:rPr>
        <w:t xml:space="preserve"> </w:t>
      </w:r>
      <w:r w:rsidRPr="002904BD">
        <w:rPr>
          <w:rFonts w:ascii="Calibri" w:hAnsi="Calibri"/>
          <w:sz w:val="22"/>
          <w:szCs w:val="22"/>
        </w:rPr>
        <w:t>Person’s data.</w:t>
      </w:r>
    </w:p>
    <w:p w14:paraId="680E45FD" w14:textId="77777777" w:rsidR="00207F1D" w:rsidRPr="002904BD" w:rsidRDefault="00207F1D" w:rsidP="00207F1D">
      <w:pPr>
        <w:jc w:val="both"/>
        <w:rPr>
          <w:rFonts w:ascii="Calibri" w:hAnsi="Calibri"/>
          <w:sz w:val="22"/>
          <w:szCs w:val="22"/>
        </w:rPr>
      </w:pPr>
    </w:p>
    <w:p w14:paraId="069FE683" w14:textId="77777777" w:rsidR="00207F1D" w:rsidRDefault="00207F1D" w:rsidP="00207F1D">
      <w:pPr>
        <w:jc w:val="both"/>
        <w:rPr>
          <w:rFonts w:ascii="Calibri" w:hAnsi="Calibri"/>
          <w:sz w:val="22"/>
          <w:szCs w:val="22"/>
        </w:rPr>
      </w:pPr>
      <w:r w:rsidRPr="002904BD">
        <w:rPr>
          <w:rFonts w:ascii="Calibri" w:hAnsi="Calibri"/>
          <w:sz w:val="22"/>
          <w:szCs w:val="22"/>
        </w:rPr>
        <w:t xml:space="preserve">Data </w:t>
      </w:r>
      <w:proofErr w:type="gramStart"/>
      <w:r w:rsidRPr="002904BD">
        <w:rPr>
          <w:rFonts w:ascii="Calibri" w:hAnsi="Calibri"/>
          <w:sz w:val="22"/>
          <w:szCs w:val="22"/>
        </w:rPr>
        <w:t>are</w:t>
      </w:r>
      <w:proofErr w:type="gramEnd"/>
      <w:r w:rsidRPr="002904BD">
        <w:rPr>
          <w:rFonts w:ascii="Calibri" w:hAnsi="Calibri"/>
          <w:sz w:val="22"/>
          <w:szCs w:val="22"/>
        </w:rPr>
        <w:t xml:space="preserve"> provided to A.I.S.E. by the </w:t>
      </w:r>
      <w:r>
        <w:rPr>
          <w:rFonts w:ascii="Calibri" w:hAnsi="Calibri"/>
          <w:sz w:val="22"/>
          <w:szCs w:val="22"/>
        </w:rPr>
        <w:t>User</w:t>
      </w:r>
      <w:r w:rsidRPr="002904BD">
        <w:rPr>
          <w:rFonts w:ascii="Calibri" w:hAnsi="Calibri"/>
          <w:sz w:val="22"/>
          <w:szCs w:val="22"/>
        </w:rPr>
        <w:t xml:space="preserve"> or the Contact Person himself/herself. Data </w:t>
      </w:r>
      <w:proofErr w:type="gramStart"/>
      <w:r w:rsidRPr="002904BD">
        <w:rPr>
          <w:rFonts w:ascii="Calibri" w:hAnsi="Calibri"/>
          <w:sz w:val="22"/>
          <w:szCs w:val="22"/>
        </w:rPr>
        <w:t>are</w:t>
      </w:r>
      <w:proofErr w:type="gramEnd"/>
      <w:r>
        <w:rPr>
          <w:rFonts w:ascii="Calibri" w:hAnsi="Calibri"/>
          <w:sz w:val="22"/>
          <w:szCs w:val="22"/>
        </w:rPr>
        <w:t xml:space="preserve"> </w:t>
      </w:r>
      <w:r w:rsidRPr="002904BD">
        <w:rPr>
          <w:rFonts w:ascii="Calibri" w:hAnsi="Calibri"/>
          <w:sz w:val="22"/>
          <w:szCs w:val="22"/>
        </w:rPr>
        <w:t>not</w:t>
      </w:r>
      <w:r>
        <w:rPr>
          <w:rFonts w:ascii="Calibri" w:hAnsi="Calibri"/>
          <w:sz w:val="22"/>
          <w:szCs w:val="22"/>
        </w:rPr>
        <w:t xml:space="preserve"> </w:t>
      </w:r>
      <w:r w:rsidRPr="002904BD">
        <w:rPr>
          <w:rFonts w:ascii="Calibri" w:hAnsi="Calibri"/>
          <w:sz w:val="22"/>
          <w:szCs w:val="22"/>
        </w:rPr>
        <w:t>transferred to third parties unless A.I.S.E. is required by law to do so. Data will not be</w:t>
      </w:r>
      <w:r>
        <w:rPr>
          <w:rFonts w:ascii="Calibri" w:hAnsi="Calibri"/>
          <w:sz w:val="22"/>
          <w:szCs w:val="22"/>
        </w:rPr>
        <w:t xml:space="preserve"> </w:t>
      </w:r>
      <w:r w:rsidRPr="002904BD">
        <w:rPr>
          <w:rFonts w:ascii="Calibri" w:hAnsi="Calibri"/>
          <w:sz w:val="22"/>
          <w:szCs w:val="22"/>
        </w:rPr>
        <w:t>transferred</w:t>
      </w:r>
      <w:r>
        <w:rPr>
          <w:rFonts w:ascii="Calibri" w:hAnsi="Calibri"/>
          <w:sz w:val="22"/>
          <w:szCs w:val="22"/>
        </w:rPr>
        <w:t xml:space="preserve"> </w:t>
      </w:r>
      <w:r w:rsidRPr="002904BD">
        <w:rPr>
          <w:rFonts w:ascii="Calibri" w:hAnsi="Calibri"/>
          <w:sz w:val="22"/>
          <w:szCs w:val="22"/>
        </w:rPr>
        <w:t>outside of the European Economic Area (EEA), unless adequate protective</w:t>
      </w:r>
      <w:r>
        <w:rPr>
          <w:rFonts w:ascii="Calibri" w:hAnsi="Calibri"/>
          <w:sz w:val="22"/>
          <w:szCs w:val="22"/>
        </w:rPr>
        <w:t xml:space="preserve"> </w:t>
      </w:r>
      <w:r w:rsidRPr="002904BD">
        <w:rPr>
          <w:rFonts w:ascii="Calibri" w:hAnsi="Calibri"/>
          <w:sz w:val="22"/>
          <w:szCs w:val="22"/>
        </w:rPr>
        <w:t>measures are in place.</w:t>
      </w:r>
    </w:p>
    <w:p w14:paraId="3F5ADCC6" w14:textId="77777777" w:rsidR="00207F1D" w:rsidRPr="002904BD" w:rsidRDefault="00207F1D" w:rsidP="00207F1D">
      <w:pPr>
        <w:jc w:val="both"/>
        <w:rPr>
          <w:rFonts w:ascii="Calibri" w:hAnsi="Calibri"/>
          <w:sz w:val="22"/>
          <w:szCs w:val="22"/>
        </w:rPr>
      </w:pPr>
    </w:p>
    <w:p w14:paraId="1BD45FB7" w14:textId="77777777" w:rsidR="00207F1D" w:rsidRDefault="00207F1D" w:rsidP="00207F1D">
      <w:pPr>
        <w:jc w:val="both"/>
        <w:rPr>
          <w:rFonts w:ascii="Calibri" w:hAnsi="Calibri"/>
          <w:sz w:val="22"/>
          <w:szCs w:val="22"/>
        </w:rPr>
      </w:pPr>
      <w:r w:rsidRPr="002904BD">
        <w:rPr>
          <w:rFonts w:ascii="Calibri" w:hAnsi="Calibri"/>
          <w:sz w:val="22"/>
          <w:szCs w:val="22"/>
        </w:rPr>
        <w:t>A.I.S.E. will only keep the data for the duration of the contractual relationship or of a project and</w:t>
      </w:r>
      <w:r>
        <w:rPr>
          <w:rFonts w:ascii="Calibri" w:hAnsi="Calibri"/>
          <w:sz w:val="22"/>
          <w:szCs w:val="22"/>
        </w:rPr>
        <w:t xml:space="preserve"> </w:t>
      </w:r>
      <w:r w:rsidRPr="002904BD">
        <w:rPr>
          <w:rFonts w:ascii="Calibri" w:hAnsi="Calibri"/>
          <w:sz w:val="22"/>
          <w:szCs w:val="22"/>
        </w:rPr>
        <w:t xml:space="preserve">for </w:t>
      </w:r>
      <w:proofErr w:type="gramStart"/>
      <w:r w:rsidRPr="002904BD">
        <w:rPr>
          <w:rFonts w:ascii="Calibri" w:hAnsi="Calibri"/>
          <w:sz w:val="22"/>
          <w:szCs w:val="22"/>
        </w:rPr>
        <w:t>a period of time</w:t>
      </w:r>
      <w:proofErr w:type="gramEnd"/>
      <w:r w:rsidRPr="002904BD">
        <w:rPr>
          <w:rFonts w:ascii="Calibri" w:hAnsi="Calibri"/>
          <w:sz w:val="22"/>
          <w:szCs w:val="22"/>
        </w:rPr>
        <w:t xml:space="preserve"> thereafter if required by applicable law or if in the primary interests of the</w:t>
      </w:r>
      <w:r>
        <w:rPr>
          <w:rFonts w:ascii="Calibri" w:hAnsi="Calibri"/>
          <w:sz w:val="22"/>
          <w:szCs w:val="22"/>
        </w:rPr>
        <w:t xml:space="preserve"> </w:t>
      </w:r>
      <w:r w:rsidRPr="002904BD">
        <w:rPr>
          <w:rFonts w:ascii="Calibri" w:hAnsi="Calibri"/>
          <w:sz w:val="22"/>
          <w:szCs w:val="22"/>
        </w:rPr>
        <w:t>data subject.</w:t>
      </w:r>
    </w:p>
    <w:p w14:paraId="3D68A368" w14:textId="77777777" w:rsidR="00207F1D" w:rsidRPr="002904BD" w:rsidRDefault="00207F1D" w:rsidP="00207F1D">
      <w:pPr>
        <w:jc w:val="both"/>
        <w:rPr>
          <w:rFonts w:ascii="Calibri" w:hAnsi="Calibri"/>
          <w:sz w:val="22"/>
          <w:szCs w:val="22"/>
        </w:rPr>
      </w:pPr>
    </w:p>
    <w:p w14:paraId="7251A1E6" w14:textId="77777777" w:rsidR="00207F1D" w:rsidRDefault="00207F1D" w:rsidP="00207F1D">
      <w:pPr>
        <w:jc w:val="both"/>
        <w:rPr>
          <w:rFonts w:ascii="Calibri" w:hAnsi="Calibri"/>
          <w:sz w:val="22"/>
          <w:szCs w:val="22"/>
        </w:rPr>
      </w:pPr>
      <w:r w:rsidRPr="002904BD">
        <w:rPr>
          <w:rFonts w:ascii="Calibri" w:hAnsi="Calibri"/>
          <w:sz w:val="22"/>
          <w:szCs w:val="22"/>
        </w:rPr>
        <w:t xml:space="preserve">At any time and under conditions laid down in the GDPR, the </w:t>
      </w:r>
      <w:r>
        <w:rPr>
          <w:rFonts w:ascii="Calibri" w:hAnsi="Calibri"/>
          <w:sz w:val="22"/>
          <w:szCs w:val="22"/>
        </w:rPr>
        <w:t>User</w:t>
      </w:r>
      <w:r w:rsidRPr="002904BD">
        <w:rPr>
          <w:rFonts w:ascii="Calibri" w:hAnsi="Calibri"/>
          <w:sz w:val="22"/>
          <w:szCs w:val="22"/>
        </w:rPr>
        <w:t xml:space="preserve"> and the Contact</w:t>
      </w:r>
      <w:r>
        <w:rPr>
          <w:rFonts w:ascii="Calibri" w:hAnsi="Calibri"/>
          <w:sz w:val="22"/>
          <w:szCs w:val="22"/>
        </w:rPr>
        <w:t xml:space="preserve"> </w:t>
      </w:r>
      <w:r w:rsidRPr="002904BD">
        <w:rPr>
          <w:rFonts w:ascii="Calibri" w:hAnsi="Calibri"/>
          <w:sz w:val="22"/>
          <w:szCs w:val="22"/>
        </w:rPr>
        <w:t>Person may obtain information on the processing performed, the rectification of inaccurate data,</w:t>
      </w:r>
      <w:r>
        <w:rPr>
          <w:rFonts w:ascii="Calibri" w:hAnsi="Calibri"/>
          <w:sz w:val="22"/>
          <w:szCs w:val="22"/>
        </w:rPr>
        <w:t xml:space="preserve"> </w:t>
      </w:r>
      <w:r w:rsidRPr="002904BD">
        <w:rPr>
          <w:rFonts w:ascii="Calibri" w:hAnsi="Calibri"/>
          <w:sz w:val="22"/>
          <w:szCs w:val="22"/>
        </w:rPr>
        <w:t>the erasure of</w:t>
      </w:r>
      <w:r>
        <w:rPr>
          <w:rFonts w:ascii="Calibri" w:hAnsi="Calibri"/>
          <w:sz w:val="22"/>
          <w:szCs w:val="22"/>
        </w:rPr>
        <w:t xml:space="preserve"> </w:t>
      </w:r>
      <w:r w:rsidRPr="002904BD">
        <w:rPr>
          <w:rFonts w:ascii="Calibri" w:hAnsi="Calibri"/>
          <w:sz w:val="22"/>
          <w:szCs w:val="22"/>
        </w:rPr>
        <w:t>data, the restriction of the processing or may object to the processing. They also</w:t>
      </w:r>
      <w:r>
        <w:rPr>
          <w:rFonts w:ascii="Calibri" w:hAnsi="Calibri"/>
          <w:sz w:val="22"/>
          <w:szCs w:val="22"/>
        </w:rPr>
        <w:t xml:space="preserve"> </w:t>
      </w:r>
      <w:r w:rsidRPr="002904BD">
        <w:rPr>
          <w:rFonts w:ascii="Calibri" w:hAnsi="Calibri"/>
          <w:sz w:val="22"/>
          <w:szCs w:val="22"/>
        </w:rPr>
        <w:t>have the right to</w:t>
      </w:r>
      <w:r>
        <w:rPr>
          <w:rFonts w:ascii="Calibri" w:hAnsi="Calibri"/>
          <w:sz w:val="22"/>
          <w:szCs w:val="22"/>
        </w:rPr>
        <w:t xml:space="preserve"> </w:t>
      </w:r>
      <w:r w:rsidRPr="002904BD">
        <w:rPr>
          <w:rFonts w:ascii="Calibri" w:hAnsi="Calibri"/>
          <w:sz w:val="22"/>
          <w:szCs w:val="22"/>
        </w:rPr>
        <w:t>lodge a complaint with the data protection authority</w:t>
      </w:r>
      <w:r>
        <w:rPr>
          <w:rFonts w:ascii="Calibri" w:hAnsi="Calibri"/>
          <w:sz w:val="22"/>
          <w:szCs w:val="22"/>
        </w:rPr>
        <w:t xml:space="preserve"> </w:t>
      </w:r>
      <w:r w:rsidRPr="002904BD">
        <w:rPr>
          <w:rFonts w:ascii="Calibri" w:hAnsi="Calibri"/>
          <w:sz w:val="22"/>
          <w:szCs w:val="22"/>
        </w:rPr>
        <w:t>(</w:t>
      </w:r>
      <w:hyperlink r:id="rId11" w:history="1">
        <w:r w:rsidRPr="00361E72">
          <w:rPr>
            <w:rStyle w:val="Hyperlink"/>
            <w:rFonts w:ascii="Calibri" w:hAnsi="Calibri"/>
            <w:sz w:val="22"/>
            <w:szCs w:val="22"/>
          </w:rPr>
          <w:t>https://www.dataprotectionauthority.be/</w:t>
        </w:r>
      </w:hyperlink>
      <w:r w:rsidRPr="002904BD">
        <w:rPr>
          <w:rFonts w:ascii="Calibri" w:hAnsi="Calibri"/>
          <w:sz w:val="22"/>
          <w:szCs w:val="22"/>
        </w:rPr>
        <w:t>).</w:t>
      </w:r>
    </w:p>
    <w:p w14:paraId="40BCDB95" w14:textId="77777777" w:rsidR="00207F1D" w:rsidRPr="002904BD" w:rsidRDefault="00207F1D" w:rsidP="00207F1D">
      <w:pPr>
        <w:jc w:val="both"/>
        <w:rPr>
          <w:rFonts w:ascii="Calibri" w:hAnsi="Calibri"/>
          <w:sz w:val="22"/>
          <w:szCs w:val="22"/>
        </w:rPr>
      </w:pPr>
    </w:p>
    <w:p w14:paraId="2840B3AE" w14:textId="77777777" w:rsidR="00207F1D" w:rsidRDefault="00207F1D" w:rsidP="00207F1D">
      <w:pPr>
        <w:jc w:val="both"/>
        <w:rPr>
          <w:rFonts w:ascii="Calibri" w:hAnsi="Calibri"/>
          <w:sz w:val="22"/>
          <w:szCs w:val="22"/>
        </w:rPr>
      </w:pPr>
      <w:r w:rsidRPr="002904BD">
        <w:rPr>
          <w:rFonts w:ascii="Calibri" w:hAnsi="Calibri"/>
          <w:sz w:val="22"/>
          <w:szCs w:val="22"/>
        </w:rPr>
        <w:t xml:space="preserve">The </w:t>
      </w:r>
      <w:r>
        <w:rPr>
          <w:rFonts w:ascii="Calibri" w:hAnsi="Calibri"/>
          <w:sz w:val="22"/>
          <w:szCs w:val="22"/>
        </w:rPr>
        <w:t xml:space="preserve">User or </w:t>
      </w:r>
      <w:r w:rsidRPr="002904BD">
        <w:rPr>
          <w:rFonts w:ascii="Calibri" w:hAnsi="Calibri"/>
          <w:sz w:val="22"/>
          <w:szCs w:val="22"/>
        </w:rPr>
        <w:t>legal person undertakes to inform the Contact Person(s) within its company that</w:t>
      </w:r>
      <w:r>
        <w:rPr>
          <w:rFonts w:ascii="Calibri" w:hAnsi="Calibri"/>
          <w:sz w:val="22"/>
          <w:szCs w:val="22"/>
        </w:rPr>
        <w:t xml:space="preserve"> </w:t>
      </w:r>
      <w:r w:rsidRPr="002904BD">
        <w:rPr>
          <w:rFonts w:ascii="Calibri" w:hAnsi="Calibri"/>
          <w:sz w:val="22"/>
          <w:szCs w:val="22"/>
        </w:rPr>
        <w:t xml:space="preserve">his/her personal data </w:t>
      </w:r>
      <w:proofErr w:type="gramStart"/>
      <w:r w:rsidRPr="002904BD">
        <w:rPr>
          <w:rFonts w:ascii="Calibri" w:hAnsi="Calibri"/>
          <w:sz w:val="22"/>
          <w:szCs w:val="22"/>
        </w:rPr>
        <w:t>are</w:t>
      </w:r>
      <w:proofErr w:type="gramEnd"/>
      <w:r w:rsidRPr="002904BD">
        <w:rPr>
          <w:rFonts w:ascii="Calibri" w:hAnsi="Calibri"/>
          <w:sz w:val="22"/>
          <w:szCs w:val="22"/>
        </w:rPr>
        <w:t xml:space="preserve"> processed by A.I.S.E. for the mentioned purposes and of the</w:t>
      </w:r>
      <w:r>
        <w:rPr>
          <w:rFonts w:ascii="Calibri" w:hAnsi="Calibri"/>
          <w:sz w:val="22"/>
          <w:szCs w:val="22"/>
        </w:rPr>
        <w:t xml:space="preserve"> </w:t>
      </w:r>
      <w:r w:rsidRPr="002904BD">
        <w:rPr>
          <w:rFonts w:ascii="Calibri" w:hAnsi="Calibri"/>
          <w:sz w:val="22"/>
          <w:szCs w:val="22"/>
        </w:rPr>
        <w:t>existence of her/his rights.</w:t>
      </w:r>
    </w:p>
    <w:p w14:paraId="5539D7CD" w14:textId="77777777" w:rsidR="00207F1D" w:rsidRPr="002904BD" w:rsidRDefault="00207F1D" w:rsidP="00207F1D">
      <w:pPr>
        <w:jc w:val="both"/>
        <w:rPr>
          <w:rFonts w:ascii="Calibri" w:hAnsi="Calibri"/>
          <w:sz w:val="22"/>
          <w:szCs w:val="22"/>
        </w:rPr>
      </w:pPr>
    </w:p>
    <w:p w14:paraId="2718B927" w14:textId="77777777" w:rsidR="00207F1D" w:rsidRPr="002904BD" w:rsidRDefault="00207F1D" w:rsidP="00207F1D">
      <w:pPr>
        <w:jc w:val="both"/>
        <w:rPr>
          <w:rFonts w:ascii="Calibri" w:hAnsi="Calibri"/>
          <w:sz w:val="22"/>
          <w:szCs w:val="22"/>
        </w:rPr>
      </w:pPr>
      <w:r w:rsidRPr="002904BD">
        <w:rPr>
          <w:rFonts w:ascii="Calibri" w:hAnsi="Calibri"/>
          <w:sz w:val="22"/>
          <w:szCs w:val="22"/>
        </w:rPr>
        <w:t>The full A.I.S.E. privacy policy is available upon request to the A.I.S.E. Secretariat.</w:t>
      </w:r>
    </w:p>
    <w:p w14:paraId="50CF0598" w14:textId="3A802B55" w:rsidR="009B2677" w:rsidRPr="002904BD" w:rsidRDefault="009B2677" w:rsidP="00C72C97">
      <w:pPr>
        <w:spacing w:after="200"/>
        <w:jc w:val="center"/>
        <w:rPr>
          <w:rFonts w:ascii="Calibri" w:hAnsi="Calibri"/>
          <w:sz w:val="22"/>
          <w:szCs w:val="22"/>
        </w:rPr>
      </w:pPr>
    </w:p>
    <w:sectPr w:rsidR="009B2677" w:rsidRPr="002904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8A3C" w14:textId="77777777" w:rsidR="00FA5B48" w:rsidRDefault="00FA5B48" w:rsidP="009B2677">
      <w:r>
        <w:separator/>
      </w:r>
    </w:p>
  </w:endnote>
  <w:endnote w:type="continuationSeparator" w:id="0">
    <w:p w14:paraId="0D5B1015" w14:textId="77777777" w:rsidR="00FA5B48" w:rsidRDefault="00FA5B48" w:rsidP="009B2677">
      <w:r>
        <w:continuationSeparator/>
      </w:r>
    </w:p>
  </w:endnote>
  <w:endnote w:type="continuationNotice" w:id="1">
    <w:p w14:paraId="02BE89AA" w14:textId="77777777" w:rsidR="00AD7B30" w:rsidRDefault="00AD7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077E" w14:textId="77777777" w:rsidR="00FA5B48" w:rsidRDefault="00FA5B48" w:rsidP="009B2677">
      <w:r>
        <w:separator/>
      </w:r>
    </w:p>
  </w:footnote>
  <w:footnote w:type="continuationSeparator" w:id="0">
    <w:p w14:paraId="37E4C063" w14:textId="77777777" w:rsidR="00FA5B48" w:rsidRDefault="00FA5B48" w:rsidP="009B2677">
      <w:r>
        <w:continuationSeparator/>
      </w:r>
    </w:p>
  </w:footnote>
  <w:footnote w:type="continuationNotice" w:id="1">
    <w:p w14:paraId="32FC93F5" w14:textId="77777777" w:rsidR="00AD7B30" w:rsidRDefault="00AD7B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631"/>
    <w:multiLevelType w:val="multilevel"/>
    <w:tmpl w:val="0F547C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mbri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mbria"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76E76"/>
    <w:multiLevelType w:val="singleLevel"/>
    <w:tmpl w:val="B104626E"/>
    <w:lvl w:ilvl="0">
      <w:start w:val="3"/>
      <w:numFmt w:val="bullet"/>
      <w:lvlText w:val="-"/>
      <w:lvlJc w:val="left"/>
      <w:pPr>
        <w:tabs>
          <w:tab w:val="num" w:pos="360"/>
        </w:tabs>
        <w:ind w:left="360" w:hanging="360"/>
      </w:pPr>
      <w:rPr>
        <w:rFonts w:hint="default"/>
      </w:rPr>
    </w:lvl>
  </w:abstractNum>
  <w:abstractNum w:abstractNumId="2" w15:restartNumberingAfterBreak="0">
    <w:nsid w:val="371E42F4"/>
    <w:multiLevelType w:val="hybridMultilevel"/>
    <w:tmpl w:val="96FE36B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9D14ECC"/>
    <w:multiLevelType w:val="multilevel"/>
    <w:tmpl w:val="180A8404"/>
    <w:lvl w:ilvl="0">
      <w:start w:val="1"/>
      <w:numFmt w:val="decimal"/>
      <w:pStyle w:val="Heading1"/>
      <w:suff w:val="nothing"/>
      <w:lvlText w:val="ARTICLE %1 - "/>
      <w:lvlJc w:val="left"/>
      <w:rPr>
        <w:rFonts w:hint="default"/>
        <w:b/>
        <w:i w:val="0"/>
        <w:caps/>
        <w:strike w:val="0"/>
        <w:dstrike w:val="0"/>
        <w:vanish w:val="0"/>
        <w:color w:val="000000"/>
        <w:sz w:val="22"/>
        <w:szCs w:val="2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
      <w:lvlJc w:val="left"/>
      <w:pPr>
        <w:tabs>
          <w:tab w:val="num" w:pos="720"/>
        </w:tabs>
        <w:ind w:left="720" w:hanging="720"/>
      </w:pPr>
      <w:rPr>
        <w:rFonts w:ascii="Calibri" w:hAnsi="Calibri" w:hint="default"/>
        <w:b w:val="0"/>
        <w:i w:val="0"/>
        <w:color w:val="000000"/>
        <w:sz w:val="22"/>
        <w:szCs w:val="22"/>
        <w:u w:val="none"/>
      </w:rPr>
    </w:lvl>
    <w:lvl w:ilvl="2">
      <w:start w:val="1"/>
      <w:numFmt w:val="decimal"/>
      <w:pStyle w:val="Heading3"/>
      <w:lvlText w:val="%1.%2.%3. "/>
      <w:lvlJc w:val="left"/>
      <w:pPr>
        <w:tabs>
          <w:tab w:val="num" w:pos="0"/>
        </w:tabs>
        <w:ind w:left="431" w:hanging="431"/>
      </w:pPr>
      <w:rPr>
        <w:rFonts w:ascii="Arial" w:hAnsi="Arial" w:hint="default"/>
        <w:b w:val="0"/>
        <w:i w:val="0"/>
        <w:sz w:val="20"/>
        <w:szCs w:val="20"/>
      </w:rPr>
    </w:lvl>
    <w:lvl w:ilvl="3">
      <w:start w:val="1"/>
      <w:numFmt w:val="decimal"/>
      <w:lvlText w:val="%1.%2.%3.%4"/>
      <w:lvlJc w:val="left"/>
      <w:pPr>
        <w:tabs>
          <w:tab w:val="num" w:pos="0"/>
        </w:tabs>
        <w:ind w:left="431" w:hanging="431"/>
      </w:pPr>
      <w:rPr>
        <w:rFonts w:hint="default"/>
      </w:rPr>
    </w:lvl>
    <w:lvl w:ilvl="4">
      <w:start w:val="1"/>
      <w:numFmt w:val="decimal"/>
      <w:lvlText w:val="%1.%2.%3.%4.%5"/>
      <w:lvlJc w:val="left"/>
      <w:pPr>
        <w:tabs>
          <w:tab w:val="num" w:pos="-2402"/>
        </w:tabs>
        <w:ind w:left="-2402" w:hanging="1008"/>
      </w:pPr>
      <w:rPr>
        <w:rFonts w:hint="default"/>
      </w:rPr>
    </w:lvl>
    <w:lvl w:ilvl="5">
      <w:start w:val="1"/>
      <w:numFmt w:val="decimal"/>
      <w:lvlText w:val="%1.%2.%3.%4.%5.%6"/>
      <w:lvlJc w:val="left"/>
      <w:pPr>
        <w:tabs>
          <w:tab w:val="num" w:pos="-2258"/>
        </w:tabs>
        <w:ind w:left="-2258" w:hanging="1152"/>
      </w:pPr>
      <w:rPr>
        <w:rFonts w:hint="default"/>
      </w:rPr>
    </w:lvl>
    <w:lvl w:ilvl="6">
      <w:start w:val="1"/>
      <w:numFmt w:val="decimal"/>
      <w:lvlText w:val="%1.%2.%3.%4.%5.%6.%7"/>
      <w:lvlJc w:val="left"/>
      <w:pPr>
        <w:tabs>
          <w:tab w:val="num" w:pos="-2114"/>
        </w:tabs>
        <w:ind w:left="-2114" w:hanging="1296"/>
      </w:pPr>
      <w:rPr>
        <w:rFonts w:hint="default"/>
      </w:rPr>
    </w:lvl>
    <w:lvl w:ilvl="7">
      <w:start w:val="1"/>
      <w:numFmt w:val="decimal"/>
      <w:lvlText w:val="%1.%2.%3.%4.%5.%6.%7.%8"/>
      <w:lvlJc w:val="left"/>
      <w:pPr>
        <w:tabs>
          <w:tab w:val="num" w:pos="-1970"/>
        </w:tabs>
        <w:ind w:left="-1970" w:hanging="1440"/>
      </w:pPr>
      <w:rPr>
        <w:rFonts w:hint="default"/>
      </w:rPr>
    </w:lvl>
    <w:lvl w:ilvl="8">
      <w:start w:val="1"/>
      <w:numFmt w:val="decimal"/>
      <w:lvlText w:val="%1.%2.%3.%4.%5.%6.%7.%8.%9"/>
      <w:lvlJc w:val="left"/>
      <w:pPr>
        <w:tabs>
          <w:tab w:val="num" w:pos="-1826"/>
        </w:tabs>
        <w:ind w:left="-1826" w:hanging="1584"/>
      </w:pPr>
      <w:rPr>
        <w:rFonts w:hint="default"/>
      </w:rPr>
    </w:lvl>
  </w:abstractNum>
  <w:abstractNum w:abstractNumId="4" w15:restartNumberingAfterBreak="0">
    <w:nsid w:val="52C63F85"/>
    <w:multiLevelType w:val="hybridMultilevel"/>
    <w:tmpl w:val="5074C4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703F8D"/>
    <w:multiLevelType w:val="hybridMultilevel"/>
    <w:tmpl w:val="EBF8426C"/>
    <w:lvl w:ilvl="0" w:tplc="9270545E">
      <w:start w:val="1"/>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54172E6A"/>
    <w:multiLevelType w:val="multilevel"/>
    <w:tmpl w:val="CCC2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401B8"/>
    <w:multiLevelType w:val="hybridMultilevel"/>
    <w:tmpl w:val="0F26972C"/>
    <w:lvl w:ilvl="0" w:tplc="B104626E">
      <w:start w:val="3"/>
      <w:numFmt w:val="bullet"/>
      <w:lvlText w:val="-"/>
      <w:lvlJc w:val="left"/>
      <w:pPr>
        <w:ind w:left="768" w:hanging="360"/>
      </w:pPr>
      <w:rPr>
        <w:rFonts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8" w15:restartNumberingAfterBreak="0">
    <w:nsid w:val="63C249C7"/>
    <w:multiLevelType w:val="multilevel"/>
    <w:tmpl w:val="7E667F46"/>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AAF0D0C"/>
    <w:multiLevelType w:val="hybridMultilevel"/>
    <w:tmpl w:val="55E4942C"/>
    <w:lvl w:ilvl="0" w:tplc="B104626E">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B1607A2"/>
    <w:multiLevelType w:val="multilevel"/>
    <w:tmpl w:val="1E5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1577D5"/>
    <w:multiLevelType w:val="multilevel"/>
    <w:tmpl w:val="9B688954"/>
    <w:lvl w:ilvl="0">
      <w:start w:val="4"/>
      <w:numFmt w:val="decimal"/>
      <w:lvlText w:val="%1"/>
      <w:lvlJc w:val="left"/>
      <w:pPr>
        <w:ind w:left="360" w:hanging="360"/>
      </w:pPr>
      <w:rPr>
        <w:rFonts w:hint="default"/>
        <w:u w:val="none"/>
      </w:rPr>
    </w:lvl>
    <w:lvl w:ilvl="1">
      <w:start w:val="2"/>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12" w15:restartNumberingAfterBreak="0">
    <w:nsid w:val="70246C35"/>
    <w:multiLevelType w:val="hybridMultilevel"/>
    <w:tmpl w:val="64AA6050"/>
    <w:lvl w:ilvl="0" w:tplc="7AF8158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71653772">
    <w:abstractNumId w:val="3"/>
  </w:num>
  <w:num w:numId="2" w16cid:durableId="1016152169">
    <w:abstractNumId w:val="8"/>
  </w:num>
  <w:num w:numId="3" w16cid:durableId="829716911">
    <w:abstractNumId w:val="2"/>
  </w:num>
  <w:num w:numId="4" w16cid:durableId="27685598">
    <w:abstractNumId w:val="7"/>
  </w:num>
  <w:num w:numId="5" w16cid:durableId="1925143427">
    <w:abstractNumId w:val="9"/>
  </w:num>
  <w:num w:numId="6" w16cid:durableId="1942298916">
    <w:abstractNumId w:val="12"/>
  </w:num>
  <w:num w:numId="7" w16cid:durableId="514882729">
    <w:abstractNumId w:val="0"/>
  </w:num>
  <w:num w:numId="8" w16cid:durableId="1092236498">
    <w:abstractNumId w:val="1"/>
  </w:num>
  <w:num w:numId="9" w16cid:durableId="504978181">
    <w:abstractNumId w:val="4"/>
  </w:num>
  <w:num w:numId="10" w16cid:durableId="563488972">
    <w:abstractNumId w:val="5"/>
  </w:num>
  <w:num w:numId="11" w16cid:durableId="1625111528">
    <w:abstractNumId w:val="11"/>
  </w:num>
  <w:num w:numId="12" w16cid:durableId="1633906459">
    <w:abstractNumId w:val="6"/>
  </w:num>
  <w:num w:numId="13" w16cid:durableId="478883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77"/>
    <w:rsid w:val="00013E66"/>
    <w:rsid w:val="00032562"/>
    <w:rsid w:val="0006386F"/>
    <w:rsid w:val="001021D3"/>
    <w:rsid w:val="00110D72"/>
    <w:rsid w:val="00120E38"/>
    <w:rsid w:val="00172473"/>
    <w:rsid w:val="00182C08"/>
    <w:rsid w:val="001B0261"/>
    <w:rsid w:val="001B1CE1"/>
    <w:rsid w:val="00207F1D"/>
    <w:rsid w:val="00220F99"/>
    <w:rsid w:val="00257809"/>
    <w:rsid w:val="00261A64"/>
    <w:rsid w:val="00266150"/>
    <w:rsid w:val="002904BD"/>
    <w:rsid w:val="0034544A"/>
    <w:rsid w:val="004074BC"/>
    <w:rsid w:val="00425813"/>
    <w:rsid w:val="004616D3"/>
    <w:rsid w:val="004654F8"/>
    <w:rsid w:val="004E55A8"/>
    <w:rsid w:val="005D4979"/>
    <w:rsid w:val="00687CB2"/>
    <w:rsid w:val="007012A2"/>
    <w:rsid w:val="00711B29"/>
    <w:rsid w:val="007C7256"/>
    <w:rsid w:val="007F7942"/>
    <w:rsid w:val="00824120"/>
    <w:rsid w:val="0084029B"/>
    <w:rsid w:val="00874CB7"/>
    <w:rsid w:val="008A413B"/>
    <w:rsid w:val="008A5EE7"/>
    <w:rsid w:val="008F7ABF"/>
    <w:rsid w:val="0090699F"/>
    <w:rsid w:val="009A52A5"/>
    <w:rsid w:val="009B2677"/>
    <w:rsid w:val="009E2CEA"/>
    <w:rsid w:val="009F1801"/>
    <w:rsid w:val="00AD7B30"/>
    <w:rsid w:val="00B2025F"/>
    <w:rsid w:val="00B2097B"/>
    <w:rsid w:val="00B45045"/>
    <w:rsid w:val="00B45191"/>
    <w:rsid w:val="00B47B05"/>
    <w:rsid w:val="00BA0119"/>
    <w:rsid w:val="00C72C97"/>
    <w:rsid w:val="00CC37A2"/>
    <w:rsid w:val="00D16A62"/>
    <w:rsid w:val="00D5334F"/>
    <w:rsid w:val="00D92DEE"/>
    <w:rsid w:val="00DE4289"/>
    <w:rsid w:val="00E24161"/>
    <w:rsid w:val="00E73180"/>
    <w:rsid w:val="00E779E8"/>
    <w:rsid w:val="00EC5501"/>
    <w:rsid w:val="00EC6314"/>
    <w:rsid w:val="00FA565D"/>
    <w:rsid w:val="00FA5B48"/>
    <w:rsid w:val="00FD6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7D12"/>
  <w15:chartTrackingRefBased/>
  <w15:docId w15:val="{073C5096-AF21-448E-9B28-FB1B2B77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7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B2677"/>
    <w:pPr>
      <w:keepNext/>
      <w:numPr>
        <w:numId w:val="1"/>
      </w:numPr>
      <w:overflowPunct w:val="0"/>
      <w:autoSpaceDE w:val="0"/>
      <w:autoSpaceDN w:val="0"/>
      <w:adjustRightInd w:val="0"/>
      <w:spacing w:before="240" w:after="60"/>
      <w:ind w:left="720"/>
      <w:jc w:val="both"/>
      <w:textAlignment w:val="baseline"/>
      <w:outlineLvl w:val="0"/>
    </w:pPr>
    <w:rPr>
      <w:rFonts w:ascii="Calibri" w:hAnsi="Calibri"/>
      <w:b/>
      <w:kern w:val="28"/>
      <w:sz w:val="22"/>
      <w:szCs w:val="20"/>
      <w:lang w:val="en-GB"/>
    </w:rPr>
  </w:style>
  <w:style w:type="paragraph" w:styleId="Heading2">
    <w:name w:val="heading 2"/>
    <w:basedOn w:val="Normal"/>
    <w:next w:val="Normal"/>
    <w:link w:val="Heading2Char"/>
    <w:qFormat/>
    <w:rsid w:val="009B2677"/>
    <w:pPr>
      <w:keepNext/>
      <w:numPr>
        <w:ilvl w:val="1"/>
        <w:numId w:val="1"/>
      </w:numPr>
      <w:overflowPunct w:val="0"/>
      <w:autoSpaceDE w:val="0"/>
      <w:autoSpaceDN w:val="0"/>
      <w:adjustRightInd w:val="0"/>
      <w:spacing w:before="240" w:after="60"/>
      <w:jc w:val="both"/>
      <w:textAlignment w:val="baseline"/>
      <w:outlineLvl w:val="1"/>
    </w:pPr>
    <w:rPr>
      <w:rFonts w:ascii="Calibri" w:hAnsi="Calibri"/>
      <w:sz w:val="22"/>
      <w:szCs w:val="20"/>
      <w:lang w:val="en-GB"/>
    </w:rPr>
  </w:style>
  <w:style w:type="paragraph" w:styleId="Heading3">
    <w:name w:val="heading 3"/>
    <w:basedOn w:val="Normal"/>
    <w:next w:val="Normal"/>
    <w:link w:val="Heading3Char"/>
    <w:qFormat/>
    <w:rsid w:val="009B2677"/>
    <w:pPr>
      <w:keepNext/>
      <w:numPr>
        <w:ilvl w:val="2"/>
        <w:numId w:val="1"/>
      </w:numPr>
      <w:overflowPunct w:val="0"/>
      <w:autoSpaceDE w:val="0"/>
      <w:autoSpaceDN w:val="0"/>
      <w:adjustRightInd w:val="0"/>
      <w:spacing w:before="240" w:after="60"/>
      <w:textAlignment w:val="baseline"/>
      <w:outlineLvl w:val="2"/>
    </w:pPr>
    <w:rPr>
      <w:rFonts w:ascii="Arial" w:hAnsi="Arial"/>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2677"/>
    <w:rPr>
      <w:rFonts w:ascii="Calibri" w:eastAsia="Times New Roman" w:hAnsi="Calibri" w:cs="Times New Roman"/>
      <w:b/>
      <w:kern w:val="28"/>
      <w:szCs w:val="20"/>
      <w:lang w:val="en-GB"/>
    </w:rPr>
  </w:style>
  <w:style w:type="character" w:customStyle="1" w:styleId="Heading2Char">
    <w:name w:val="Heading 2 Char"/>
    <w:link w:val="Heading2"/>
    <w:rsid w:val="009B2677"/>
    <w:rPr>
      <w:rFonts w:ascii="Calibri" w:eastAsia="Times New Roman" w:hAnsi="Calibri" w:cs="Times New Roman"/>
      <w:szCs w:val="20"/>
      <w:lang w:val="en-GB"/>
    </w:rPr>
  </w:style>
  <w:style w:type="character" w:customStyle="1" w:styleId="Heading3Char">
    <w:name w:val="Heading 3 Char"/>
    <w:link w:val="Heading3"/>
    <w:rsid w:val="009B2677"/>
    <w:rPr>
      <w:rFonts w:ascii="Arial" w:eastAsia="Times New Roman" w:hAnsi="Arial" w:cs="Times New Roman"/>
      <w:sz w:val="24"/>
      <w:szCs w:val="20"/>
      <w:lang w:val="en-GB"/>
    </w:rPr>
  </w:style>
  <w:style w:type="paragraph" w:styleId="BodyText2">
    <w:name w:val="Body Text 2"/>
    <w:basedOn w:val="Normal"/>
    <w:link w:val="BodyText2Char"/>
    <w:rsid w:val="009B2677"/>
    <w:pPr>
      <w:jc w:val="both"/>
    </w:pPr>
    <w:rPr>
      <w:szCs w:val="20"/>
      <w:lang w:val="fr-FR" w:eastAsia="fr-FR"/>
    </w:rPr>
  </w:style>
  <w:style w:type="character" w:customStyle="1" w:styleId="BodyText2Char">
    <w:name w:val="Body Text 2 Char"/>
    <w:link w:val="BodyText2"/>
    <w:rsid w:val="009B2677"/>
    <w:rPr>
      <w:rFonts w:ascii="Times New Roman" w:eastAsia="Times New Roman" w:hAnsi="Times New Roman" w:cs="Times New Roman"/>
      <w:sz w:val="24"/>
      <w:szCs w:val="20"/>
      <w:lang w:val="fr-FR" w:eastAsia="fr-FR"/>
    </w:rPr>
  </w:style>
  <w:style w:type="paragraph" w:styleId="ListParagraph">
    <w:name w:val="List Paragraph"/>
    <w:basedOn w:val="Normal"/>
    <w:uiPriority w:val="34"/>
    <w:qFormat/>
    <w:rsid w:val="009B2677"/>
    <w:pPr>
      <w:ind w:left="720"/>
    </w:pPr>
    <w:rPr>
      <w:rFonts w:ascii="Arial" w:hAnsi="Arial" w:cs="Arial"/>
      <w:bCs/>
      <w:sz w:val="22"/>
      <w:szCs w:val="22"/>
      <w:lang w:val="en-GB"/>
    </w:rPr>
  </w:style>
  <w:style w:type="character" w:styleId="Hyperlink">
    <w:name w:val="Hyperlink"/>
    <w:uiPriority w:val="99"/>
    <w:unhideWhenUsed/>
    <w:rsid w:val="009B2677"/>
    <w:rPr>
      <w:color w:val="0000FF"/>
      <w:u w:val="single"/>
    </w:rPr>
  </w:style>
  <w:style w:type="paragraph" w:styleId="BalloonText">
    <w:name w:val="Balloon Text"/>
    <w:basedOn w:val="Normal"/>
    <w:link w:val="BalloonTextChar"/>
    <w:semiHidden/>
    <w:rsid w:val="009B2677"/>
    <w:rPr>
      <w:rFonts w:ascii="Tahoma" w:hAnsi="Tahoma" w:cs="Tahoma"/>
      <w:sz w:val="16"/>
      <w:szCs w:val="16"/>
    </w:rPr>
  </w:style>
  <w:style w:type="character" w:customStyle="1" w:styleId="BalloonTextChar">
    <w:name w:val="Balloon Text Char"/>
    <w:link w:val="BalloonText"/>
    <w:semiHidden/>
    <w:rsid w:val="009B2677"/>
    <w:rPr>
      <w:rFonts w:ascii="Tahoma" w:eastAsia="Times New Roman" w:hAnsi="Tahoma" w:cs="Tahoma"/>
      <w:sz w:val="16"/>
      <w:szCs w:val="16"/>
      <w:lang w:val="en-US"/>
    </w:rPr>
  </w:style>
  <w:style w:type="paragraph" w:styleId="BodyText">
    <w:name w:val="Body Text"/>
    <w:basedOn w:val="Normal"/>
    <w:link w:val="BodyTextChar"/>
    <w:rsid w:val="009B2677"/>
    <w:pPr>
      <w:spacing w:after="120"/>
    </w:pPr>
    <w:rPr>
      <w:lang w:val="x-none" w:eastAsia="x-none"/>
    </w:rPr>
  </w:style>
  <w:style w:type="character" w:customStyle="1" w:styleId="BodyTextChar">
    <w:name w:val="Body Text Char"/>
    <w:link w:val="BodyText"/>
    <w:rsid w:val="009B2677"/>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9B2677"/>
    <w:pPr>
      <w:spacing w:after="120"/>
      <w:ind w:left="283"/>
    </w:pPr>
    <w:rPr>
      <w:lang w:val="x-none" w:eastAsia="x-none"/>
    </w:rPr>
  </w:style>
  <w:style w:type="character" w:customStyle="1" w:styleId="BodyTextIndentChar">
    <w:name w:val="Body Text Indent Char"/>
    <w:link w:val="BodyTextIndent"/>
    <w:rsid w:val="009B2677"/>
    <w:rPr>
      <w:rFonts w:ascii="Times New Roman" w:eastAsia="Times New Roman" w:hAnsi="Times New Roman" w:cs="Times New Roman"/>
      <w:sz w:val="24"/>
      <w:szCs w:val="24"/>
      <w:lang w:val="x-none" w:eastAsia="x-none"/>
    </w:rPr>
  </w:style>
  <w:style w:type="paragraph" w:customStyle="1" w:styleId="parabor">
    <w:name w:val="parabor"/>
    <w:basedOn w:val="Normal"/>
    <w:rsid w:val="009B2677"/>
    <w:pPr>
      <w:autoSpaceDE w:val="0"/>
      <w:autoSpaceDN w:val="0"/>
      <w:adjustRightInd w:val="0"/>
      <w:spacing w:before="180"/>
      <w:jc w:val="both"/>
    </w:pPr>
    <w:rPr>
      <w:rFonts w:ascii="Arial" w:hAnsi="Arial" w:cs="Arial"/>
      <w:sz w:val="22"/>
      <w:szCs w:val="20"/>
      <w:lang w:val="en-GB"/>
    </w:rPr>
  </w:style>
  <w:style w:type="paragraph" w:styleId="FootnoteText">
    <w:name w:val="footnote text"/>
    <w:basedOn w:val="Normal"/>
    <w:link w:val="FootnoteTextChar"/>
    <w:uiPriority w:val="99"/>
    <w:rsid w:val="009B2677"/>
    <w:rPr>
      <w:rFonts w:ascii="Arial" w:hAnsi="Arial"/>
      <w:bCs/>
      <w:sz w:val="20"/>
      <w:szCs w:val="20"/>
      <w:lang w:val="en-GB" w:eastAsia="x-none"/>
    </w:rPr>
  </w:style>
  <w:style w:type="character" w:customStyle="1" w:styleId="FootnoteTextChar">
    <w:name w:val="Footnote Text Char"/>
    <w:link w:val="FootnoteText"/>
    <w:uiPriority w:val="99"/>
    <w:rsid w:val="009B2677"/>
    <w:rPr>
      <w:rFonts w:ascii="Arial" w:eastAsia="Times New Roman" w:hAnsi="Arial" w:cs="Times New Roman"/>
      <w:bCs/>
      <w:sz w:val="20"/>
      <w:szCs w:val="20"/>
      <w:lang w:val="en-GB" w:eastAsia="x-none"/>
    </w:rPr>
  </w:style>
  <w:style w:type="character" w:styleId="FootnoteReference">
    <w:name w:val="footnote reference"/>
    <w:uiPriority w:val="99"/>
    <w:rsid w:val="009B2677"/>
    <w:rPr>
      <w:vertAlign w:val="superscript"/>
    </w:rPr>
  </w:style>
  <w:style w:type="paragraph" w:styleId="Header">
    <w:name w:val="header"/>
    <w:basedOn w:val="Normal"/>
    <w:link w:val="HeaderChar"/>
    <w:uiPriority w:val="99"/>
    <w:rsid w:val="009B2677"/>
    <w:pPr>
      <w:tabs>
        <w:tab w:val="center" w:pos="4680"/>
        <w:tab w:val="right" w:pos="9360"/>
      </w:tabs>
    </w:pPr>
    <w:rPr>
      <w:lang w:val="x-none" w:eastAsia="x-none"/>
    </w:rPr>
  </w:style>
  <w:style w:type="character" w:customStyle="1" w:styleId="HeaderChar">
    <w:name w:val="Header Char"/>
    <w:link w:val="Header"/>
    <w:uiPriority w:val="99"/>
    <w:rsid w:val="009B2677"/>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9B2677"/>
    <w:pPr>
      <w:tabs>
        <w:tab w:val="center" w:pos="4680"/>
        <w:tab w:val="right" w:pos="9360"/>
      </w:tabs>
    </w:pPr>
    <w:rPr>
      <w:lang w:val="x-none" w:eastAsia="x-none"/>
    </w:rPr>
  </w:style>
  <w:style w:type="character" w:customStyle="1" w:styleId="FooterChar">
    <w:name w:val="Footer Char"/>
    <w:link w:val="Footer"/>
    <w:uiPriority w:val="99"/>
    <w:rsid w:val="009B2677"/>
    <w:rPr>
      <w:rFonts w:ascii="Times New Roman" w:eastAsia="Times New Roman" w:hAnsi="Times New Roman" w:cs="Times New Roman"/>
      <w:sz w:val="24"/>
      <w:szCs w:val="24"/>
      <w:lang w:val="x-none" w:eastAsia="x-none"/>
    </w:rPr>
  </w:style>
  <w:style w:type="character" w:styleId="CommentReference">
    <w:name w:val="annotation reference"/>
    <w:rsid w:val="009B2677"/>
    <w:rPr>
      <w:sz w:val="16"/>
      <w:szCs w:val="16"/>
    </w:rPr>
  </w:style>
  <w:style w:type="paragraph" w:styleId="CommentText">
    <w:name w:val="annotation text"/>
    <w:basedOn w:val="Normal"/>
    <w:link w:val="CommentTextChar"/>
    <w:rsid w:val="009B2677"/>
    <w:rPr>
      <w:sz w:val="20"/>
      <w:szCs w:val="20"/>
    </w:rPr>
  </w:style>
  <w:style w:type="character" w:customStyle="1" w:styleId="CommentTextChar">
    <w:name w:val="Comment Text Char"/>
    <w:link w:val="CommentText"/>
    <w:rsid w:val="009B267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B2677"/>
    <w:rPr>
      <w:b/>
      <w:bCs/>
    </w:rPr>
  </w:style>
  <w:style w:type="character" w:customStyle="1" w:styleId="CommentSubjectChar">
    <w:name w:val="Comment Subject Char"/>
    <w:link w:val="CommentSubject"/>
    <w:rsid w:val="009B2677"/>
    <w:rPr>
      <w:rFonts w:ascii="Times New Roman" w:eastAsia="Times New Roman" w:hAnsi="Times New Roman" w:cs="Times New Roman"/>
      <w:b/>
      <w:bCs/>
      <w:sz w:val="20"/>
      <w:szCs w:val="20"/>
      <w:lang w:val="en-US"/>
    </w:rPr>
  </w:style>
  <w:style w:type="paragraph" w:styleId="Revision">
    <w:name w:val="Revision"/>
    <w:hidden/>
    <w:uiPriority w:val="99"/>
    <w:semiHidden/>
    <w:rsid w:val="009B2677"/>
    <w:rPr>
      <w:rFonts w:ascii="Times New Roman" w:eastAsia="Times New Roman" w:hAnsi="Times New Roman"/>
      <w:sz w:val="24"/>
      <w:szCs w:val="24"/>
      <w:lang w:val="en-US" w:eastAsia="en-US"/>
    </w:rPr>
  </w:style>
  <w:style w:type="paragraph" w:customStyle="1" w:styleId="CM1">
    <w:name w:val="CM1"/>
    <w:basedOn w:val="Normal"/>
    <w:next w:val="Normal"/>
    <w:uiPriority w:val="99"/>
    <w:rsid w:val="009B2677"/>
    <w:pPr>
      <w:autoSpaceDE w:val="0"/>
      <w:autoSpaceDN w:val="0"/>
      <w:adjustRightInd w:val="0"/>
    </w:pPr>
    <w:rPr>
      <w:lang w:val="fr-BE" w:eastAsia="fr-BE"/>
    </w:rPr>
  </w:style>
  <w:style w:type="paragraph" w:customStyle="1" w:styleId="CM3">
    <w:name w:val="CM3"/>
    <w:basedOn w:val="Normal"/>
    <w:next w:val="Normal"/>
    <w:uiPriority w:val="99"/>
    <w:rsid w:val="009B2677"/>
    <w:pPr>
      <w:autoSpaceDE w:val="0"/>
      <w:autoSpaceDN w:val="0"/>
      <w:adjustRightInd w:val="0"/>
    </w:pPr>
    <w:rPr>
      <w:lang w:val="fr-BE" w:eastAsia="fr-BE"/>
    </w:rPr>
  </w:style>
  <w:style w:type="table" w:styleId="TableGrid">
    <w:name w:val="Table Grid"/>
    <w:basedOn w:val="TableNormal"/>
    <w:uiPriority w:val="59"/>
    <w:rsid w:val="009B267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9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taprotectionauthority.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98c998-79be-44de-9e55-d0380ec6829d" xsi:nil="true"/>
    <lcf76f155ced4ddcb4097134ff3c332f xmlns="e8c52bd2-e905-4d0f-b437-da988a9e7ea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CB2FF140EB3840A492FBF664216370" ma:contentTypeVersion="18" ma:contentTypeDescription="Create a new document." ma:contentTypeScope="" ma:versionID="26dcb842e397645c478579d15341d8fc">
  <xsd:schema xmlns:xsd="http://www.w3.org/2001/XMLSchema" xmlns:xs="http://www.w3.org/2001/XMLSchema" xmlns:p="http://schemas.microsoft.com/office/2006/metadata/properties" xmlns:ns2="e8c52bd2-e905-4d0f-b437-da988a9e7ea8" xmlns:ns3="8898c998-79be-44de-9e55-d0380ec6829d" targetNamespace="http://schemas.microsoft.com/office/2006/metadata/properties" ma:root="true" ma:fieldsID="476a54bf0780dd3653c70add1d168928" ns2:_="" ns3:_="">
    <xsd:import namespace="e8c52bd2-e905-4d0f-b437-da988a9e7ea8"/>
    <xsd:import namespace="8898c998-79be-44de-9e55-d0380ec682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52bd2-e905-4d0f-b437-da988a9e7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a8f843-fb5e-4649-9262-3146ae5500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8c998-79be-44de-9e55-d0380ec682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a53b34-2500-4824-bd6c-eae04145d6b3}" ma:internalName="TaxCatchAll" ma:showField="CatchAllData" ma:web="8898c998-79be-44de-9e55-d0380ec68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4CD10-7A88-487D-AFF5-00542D00EE09}">
  <ds:schemaRefs>
    <ds:schemaRef ds:uri="http://schemas.microsoft.com/office/2006/metadata/properties"/>
    <ds:schemaRef ds:uri="http://schemas.microsoft.com/office/infopath/2007/PartnerControls"/>
    <ds:schemaRef ds:uri="8898c998-79be-44de-9e55-d0380ec6829d"/>
    <ds:schemaRef ds:uri="e8c52bd2-e905-4d0f-b437-da988a9e7ea8"/>
  </ds:schemaRefs>
</ds:datastoreItem>
</file>

<file path=customXml/itemProps2.xml><?xml version="1.0" encoding="utf-8"?>
<ds:datastoreItem xmlns:ds="http://schemas.openxmlformats.org/officeDocument/2006/customXml" ds:itemID="{B235A5B8-517E-4533-8A25-A53312029277}">
  <ds:schemaRefs>
    <ds:schemaRef ds:uri="http://schemas.openxmlformats.org/officeDocument/2006/bibliography"/>
  </ds:schemaRefs>
</ds:datastoreItem>
</file>

<file path=customXml/itemProps3.xml><?xml version="1.0" encoding="utf-8"?>
<ds:datastoreItem xmlns:ds="http://schemas.openxmlformats.org/officeDocument/2006/customXml" ds:itemID="{32232411-9044-4EC6-A6C7-96F69DF6F965}">
  <ds:schemaRefs>
    <ds:schemaRef ds:uri="http://schemas.microsoft.com/sharepoint/v3/contenttype/forms"/>
  </ds:schemaRefs>
</ds:datastoreItem>
</file>

<file path=customXml/itemProps4.xml><?xml version="1.0" encoding="utf-8"?>
<ds:datastoreItem xmlns:ds="http://schemas.openxmlformats.org/officeDocument/2006/customXml" ds:itemID="{82893A28-C497-4ED0-B9DF-F01AA44AD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52bd2-e905-4d0f-b437-da988a9e7ea8"/>
    <ds:schemaRef ds:uri="8898c998-79be-44de-9e55-d0380ec68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2975</Words>
  <Characters>16962</Characters>
  <Application>Microsoft Office Word</Application>
  <DocSecurity>0</DocSecurity>
  <Lines>141</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AISE DETERGENT INDUSTRY NETWORK FOR CLP CLASSIFICATION ("DETNET")</vt:lpstr>
      <vt:lpstr>AISE DETERGENT INDUSTRY NETWORK FOR CLP CLASSIFICATION ("DETNET")</vt:lpstr>
    </vt:vector>
  </TitlesOfParts>
  <Company/>
  <LinksUpToDate>false</LinksUpToDate>
  <CharactersWithSpaces>19898</CharactersWithSpaces>
  <SharedDoc>false</SharedDoc>
  <HLinks>
    <vt:vector size="12" baseType="variant">
      <vt:variant>
        <vt:i4>7995449</vt:i4>
      </vt:variant>
      <vt:variant>
        <vt:i4>27</vt:i4>
      </vt:variant>
      <vt:variant>
        <vt:i4>0</vt:i4>
      </vt:variant>
      <vt:variant>
        <vt:i4>5</vt:i4>
      </vt:variant>
      <vt:variant>
        <vt:lpwstr>https://www.dataprotectionauthority.be/</vt:lpwstr>
      </vt:variant>
      <vt:variant>
        <vt:lpwstr/>
      </vt:variant>
      <vt:variant>
        <vt:i4>7012390</vt:i4>
      </vt:variant>
      <vt:variant>
        <vt:i4>6</vt:i4>
      </vt:variant>
      <vt:variant>
        <vt:i4>0</vt:i4>
      </vt:variant>
      <vt:variant>
        <vt:i4>5</vt:i4>
      </vt:variant>
      <vt:variant>
        <vt:lpwstr>http://www.det-net.eu/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AISE DETERGENT INDUSTRY NETWORK FOR CLP CLASSIFICATION ("DETNET")</dc:title>
  <dc:subject/>
  <dc:creator>Cindy Chhuon</dc:creator>
  <cp:keywords/>
  <cp:lastModifiedBy>Gaelle Verryck</cp:lastModifiedBy>
  <cp:revision>4</cp:revision>
  <cp:lastPrinted>2023-02-02T15:54:00Z</cp:lastPrinted>
  <dcterms:created xsi:type="dcterms:W3CDTF">2023-02-03T10:37:00Z</dcterms:created>
  <dcterms:modified xsi:type="dcterms:W3CDTF">2024-01-23T08:59:00Z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0x010100F1CB2FF140EB3840A492FBF664216370</vt:lpwstr>
  </property>
  <property fmtid="{D5CDD505-2E9C-101B-9397-08002B2CF9AE}" pid="3" name="MediaServiceImageTags">
    <vt:lpwstr/>
  </property>
</Properties>
</file>